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宋体" w:eastAsia="宋体" w:cs="Times New Roman"/>
          <w:b/>
          <w:sz w:val="44"/>
          <w:szCs w:val="44"/>
        </w:rPr>
      </w:pPr>
    </w:p>
    <w:p>
      <w:pPr>
        <w:jc w:val="center"/>
        <w:rPr>
          <w:rFonts w:hint="eastAsia" w:ascii="Calibri" w:hAnsi="宋体" w:eastAsia="宋体" w:cs="Times New Roman"/>
          <w:b/>
          <w:sz w:val="44"/>
          <w:szCs w:val="44"/>
        </w:rPr>
      </w:pPr>
      <w:r>
        <w:rPr>
          <w:rFonts w:hint="eastAsia" w:ascii="Calibri" w:hAnsi="宋体" w:eastAsia="宋体" w:cs="Times New Roman"/>
          <w:b/>
          <w:sz w:val="44"/>
          <w:szCs w:val="44"/>
        </w:rPr>
        <w:t>《</w:t>
      </w:r>
      <w:r>
        <w:rPr>
          <w:rFonts w:hint="eastAsia" w:ascii="Calibri" w:hAnsi="宋体" w:eastAsia="宋体" w:cs="Times New Roman"/>
          <w:b/>
          <w:sz w:val="44"/>
          <w:szCs w:val="44"/>
          <w:lang w:eastAsia="zh-CN"/>
        </w:rPr>
        <w:t>壮医热敏探穴针刺疗法技术规范</w:t>
      </w:r>
      <w:r>
        <w:rPr>
          <w:rFonts w:hint="eastAsia" w:ascii="Calibri" w:hAnsi="宋体" w:eastAsia="宋体" w:cs="Times New Roman"/>
          <w:b/>
          <w:sz w:val="44"/>
          <w:szCs w:val="44"/>
        </w:rPr>
        <w:t>》</w:t>
      </w:r>
    </w:p>
    <w:p>
      <w:pPr>
        <w:jc w:val="center"/>
      </w:pPr>
      <w:r>
        <w:rPr>
          <w:rFonts w:hint="eastAsia" w:ascii="Calibri" w:hAnsi="宋体" w:eastAsia="宋体" w:cs="Times New Roman"/>
          <w:b/>
          <w:sz w:val="44"/>
          <w:szCs w:val="44"/>
        </w:rPr>
        <w:t>（征求意见稿）</w:t>
      </w:r>
    </w:p>
    <w:p>
      <w:pPr>
        <w:jc w:val="center"/>
        <w:rPr>
          <w:b/>
          <w:sz w:val="30"/>
          <w:szCs w:val="30"/>
        </w:rPr>
      </w:pPr>
    </w:p>
    <w:p>
      <w:pPr>
        <w:jc w:val="center"/>
        <w:rPr>
          <w:b/>
          <w:sz w:val="32"/>
          <w:szCs w:val="32"/>
        </w:rPr>
      </w:pPr>
    </w:p>
    <w:p>
      <w:pPr>
        <w:jc w:val="center"/>
        <w:rPr>
          <w:rFonts w:ascii="Calibri" w:hAnsi="宋体" w:eastAsia="宋体" w:cs="Times New Roman"/>
          <w:b/>
          <w:sz w:val="36"/>
          <w:szCs w:val="36"/>
        </w:rPr>
      </w:pPr>
      <w:r>
        <w:rPr>
          <w:rFonts w:hint="eastAsia" w:ascii="Calibri" w:hAnsi="宋体" w:eastAsia="宋体" w:cs="Times New Roman"/>
          <w:b/>
          <w:sz w:val="36"/>
          <w:szCs w:val="36"/>
        </w:rPr>
        <w:t>编</w:t>
      </w:r>
      <w:r>
        <w:rPr>
          <w:rFonts w:ascii="Calibri" w:hAnsi="宋体" w:eastAsia="宋体" w:cs="Times New Roman"/>
          <w:b/>
          <w:sz w:val="36"/>
          <w:szCs w:val="36"/>
        </w:rPr>
        <w:t xml:space="preserve"> </w:t>
      </w:r>
      <w:r>
        <w:rPr>
          <w:rFonts w:hint="eastAsia" w:ascii="Calibri" w:hAnsi="宋体" w:eastAsia="宋体" w:cs="Times New Roman"/>
          <w:b/>
          <w:sz w:val="36"/>
          <w:szCs w:val="36"/>
        </w:rPr>
        <w:t>制</w:t>
      </w:r>
      <w:r>
        <w:rPr>
          <w:rFonts w:ascii="Calibri" w:hAnsi="宋体" w:eastAsia="宋体" w:cs="Times New Roman"/>
          <w:b/>
          <w:sz w:val="36"/>
          <w:szCs w:val="36"/>
        </w:rPr>
        <w:t xml:space="preserve"> </w:t>
      </w:r>
      <w:r>
        <w:rPr>
          <w:rFonts w:hint="eastAsia" w:ascii="Calibri" w:hAnsi="宋体" w:eastAsia="宋体" w:cs="Times New Roman"/>
          <w:b/>
          <w:sz w:val="36"/>
          <w:szCs w:val="36"/>
        </w:rPr>
        <w:t>说</w:t>
      </w:r>
      <w:r>
        <w:rPr>
          <w:rFonts w:ascii="Calibri" w:hAnsi="宋体" w:eastAsia="宋体" w:cs="Times New Roman"/>
          <w:b/>
          <w:sz w:val="36"/>
          <w:szCs w:val="36"/>
        </w:rPr>
        <w:t xml:space="preserve"> </w:t>
      </w:r>
      <w:r>
        <w:rPr>
          <w:rFonts w:hint="eastAsia" w:ascii="Calibri" w:hAnsi="宋体" w:eastAsia="宋体" w:cs="Times New Roman"/>
          <w:b/>
          <w:sz w:val="36"/>
          <w:szCs w:val="36"/>
        </w:rPr>
        <w:t>明</w:t>
      </w: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center"/>
        <w:rPr>
          <w:rFonts w:hint="eastAsia" w:ascii="方正小标宋简体" w:eastAsia="方正小标宋简体"/>
          <w:bCs/>
          <w:color w:val="000000"/>
          <w:sz w:val="44"/>
          <w:szCs w:val="44"/>
        </w:rPr>
      </w:pPr>
    </w:p>
    <w:p>
      <w:pPr>
        <w:spacing w:line="560" w:lineRule="exact"/>
        <w:jc w:val="both"/>
        <w:rPr>
          <w:rFonts w:hint="eastAsia" w:ascii="方正小标宋简体" w:eastAsia="方正小标宋简体"/>
          <w:bCs/>
          <w:color w:val="000000"/>
          <w:sz w:val="44"/>
          <w:szCs w:val="44"/>
        </w:rPr>
      </w:pPr>
    </w:p>
    <w:p>
      <w:pPr>
        <w:jc w:val="center"/>
        <w:rPr>
          <w:rFonts w:hint="eastAsia" w:ascii="Calibri" w:hAnsi="Calibri" w:eastAsia="宋体" w:cs="Times New Roman"/>
          <w:b/>
          <w:sz w:val="32"/>
          <w:szCs w:val="32"/>
        </w:rPr>
      </w:pPr>
      <w:r>
        <w:rPr>
          <w:rFonts w:hint="eastAsia" w:ascii="Calibri" w:hAnsi="Calibri" w:eastAsia="宋体" w:cs="Times New Roman"/>
          <w:b/>
          <w:sz w:val="32"/>
          <w:szCs w:val="32"/>
        </w:rPr>
        <w:t>《</w:t>
      </w:r>
      <w:r>
        <w:rPr>
          <w:rFonts w:hint="eastAsia" w:ascii="Calibri" w:hAnsi="Calibri" w:eastAsia="宋体" w:cs="Times New Roman"/>
          <w:b/>
          <w:sz w:val="32"/>
          <w:szCs w:val="32"/>
          <w:lang w:eastAsia="zh-CN"/>
        </w:rPr>
        <w:t>壮医热敏探穴针刺疗法技术规范</w:t>
      </w:r>
      <w:r>
        <w:rPr>
          <w:rFonts w:hint="eastAsia" w:ascii="Calibri" w:hAnsi="Calibri" w:eastAsia="宋体" w:cs="Times New Roman"/>
          <w:b/>
          <w:sz w:val="32"/>
          <w:szCs w:val="32"/>
        </w:rPr>
        <w:t>》</w:t>
      </w:r>
    </w:p>
    <w:p>
      <w:pPr>
        <w:jc w:val="center"/>
        <w:rPr>
          <w:rFonts w:hint="eastAsia" w:ascii="Calibri" w:hAnsi="Calibri" w:eastAsia="宋体" w:cs="Times New Roman"/>
          <w:b/>
          <w:sz w:val="32"/>
          <w:szCs w:val="32"/>
          <w:lang w:eastAsia="zh-CN"/>
        </w:rPr>
      </w:pPr>
      <w:r>
        <w:rPr>
          <w:rFonts w:hint="eastAsia" w:ascii="Calibri" w:hAnsi="Calibri" w:eastAsia="宋体" w:cs="Times New Roman"/>
          <w:b/>
          <w:sz w:val="32"/>
          <w:szCs w:val="32"/>
          <w:lang w:eastAsia="zh-CN"/>
        </w:rPr>
        <w:t>专业标准编制组</w:t>
      </w:r>
    </w:p>
    <w:p>
      <w:pPr>
        <w:jc w:val="center"/>
        <w:rPr>
          <w:rFonts w:hint="eastAsia" w:ascii="Calibri" w:hAnsi="Calibri" w:eastAsia="宋体" w:cs="Times New Roman"/>
          <w:b/>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Calibri" w:hAnsi="Calibri" w:eastAsia="宋体" w:cs="Times New Roman"/>
          <w:b/>
          <w:sz w:val="32"/>
          <w:szCs w:val="32"/>
          <w:lang w:eastAsia="zh-CN"/>
        </w:rPr>
        <w:t>二</w:t>
      </w:r>
      <w:r>
        <w:rPr>
          <w:rFonts w:hint="eastAsia" w:hAnsi="宋体"/>
          <w:b/>
          <w:sz w:val="32"/>
          <w:szCs w:val="32"/>
          <w:lang w:eastAsia="zh-CN"/>
        </w:rPr>
        <w:t>〇</w:t>
      </w:r>
      <w:r>
        <w:rPr>
          <w:rFonts w:hint="eastAsia" w:ascii="Calibri" w:hAnsi="Calibri" w:eastAsia="宋体" w:cs="Times New Roman"/>
          <w:b/>
          <w:sz w:val="32"/>
          <w:szCs w:val="32"/>
          <w:lang w:val="en-US" w:eastAsia="zh-CN"/>
        </w:rPr>
        <w:t>一九年五月</w:t>
      </w:r>
    </w:p>
    <w:p>
      <w:pPr>
        <w:spacing w:line="440" w:lineRule="exact"/>
        <w:ind w:firstLine="482" w:firstLineChars="200"/>
        <w:rPr>
          <w:rFonts w:ascii="Calibri" w:hAnsi="宋体" w:eastAsia="宋体" w:cs="Times New Roman"/>
          <w:b/>
          <w:sz w:val="24"/>
        </w:rPr>
      </w:pPr>
      <w:r>
        <w:rPr>
          <w:rFonts w:hint="eastAsia" w:ascii="Calibri" w:hAnsi="宋体" w:eastAsia="宋体" w:cs="Times New Roman"/>
          <w:b/>
          <w:sz w:val="24"/>
        </w:rPr>
        <w:t>一、工作简况</w:t>
      </w:r>
    </w:p>
    <w:p>
      <w:pPr>
        <w:spacing w:line="440" w:lineRule="exact"/>
        <w:ind w:firstLine="480" w:firstLineChars="200"/>
        <w:rPr>
          <w:rFonts w:ascii="Calibri" w:hAnsi="宋体" w:eastAsia="宋体" w:cs="Times New Roman"/>
          <w:sz w:val="24"/>
          <w:lang w:val="zh-CN"/>
        </w:rPr>
      </w:pPr>
      <w:r>
        <w:rPr>
          <w:rFonts w:hint="eastAsia" w:ascii="Calibri" w:hAnsi="宋体" w:eastAsia="宋体" w:cs="Times New Roman"/>
          <w:sz w:val="24"/>
          <w:lang w:val="zh-CN"/>
        </w:rPr>
        <w:t>（一）任务来源与项目编号</w:t>
      </w:r>
    </w:p>
    <w:p>
      <w:pPr>
        <w:spacing w:line="440" w:lineRule="exact"/>
        <w:ind w:firstLine="480" w:firstLineChars="200"/>
        <w:rPr>
          <w:rFonts w:hint="eastAsia" w:ascii="Calibri" w:hAnsi="宋体" w:eastAsia="宋体" w:cs="Times New Roman"/>
          <w:sz w:val="24"/>
        </w:rPr>
      </w:pPr>
      <w:r>
        <w:rPr>
          <w:rFonts w:hint="eastAsia" w:ascii="Calibri" w:hAnsi="宋体" w:eastAsia="宋体" w:cs="Times New Roman"/>
          <w:sz w:val="24"/>
        </w:rPr>
        <w:t>为规范壮医热敏探穴针刺疗法治疗类风湿性关节炎的关键技术，促进其推广临床高质量应用，结合广西壮族自治区壮医热敏探穴针刺疗法无统一规范，有必要制定壮医热敏探穴针刺疗法技术规范地方标准。</w:t>
      </w:r>
    </w:p>
    <w:p>
      <w:pPr>
        <w:spacing w:line="440" w:lineRule="exact"/>
        <w:ind w:firstLine="480" w:firstLineChars="200"/>
        <w:rPr>
          <w:rFonts w:hint="eastAsia" w:ascii="Calibri" w:hAnsi="宋体" w:eastAsia="宋体" w:cs="Times New Roman"/>
          <w:sz w:val="24"/>
        </w:rPr>
      </w:pPr>
      <w:r>
        <w:rPr>
          <w:rFonts w:hint="eastAsia" w:ascii="Calibri" w:hAnsi="宋体" w:eastAsia="宋体" w:cs="Times New Roman"/>
          <w:sz w:val="24"/>
        </w:rPr>
        <w:t>本标准是根据《广西壮族自治区市场监督管理局关于下达2018年第二批广西地方标准制定项目计划的通知》（桂市监函[2018]253号）由广西壮族自治区</w:t>
      </w:r>
      <w:r>
        <w:rPr>
          <w:rFonts w:hint="eastAsia" w:ascii="Calibri" w:hAnsi="宋体" w:eastAsia="宋体" w:cs="Times New Roman"/>
          <w:sz w:val="24"/>
          <w:lang w:eastAsia="zh-CN"/>
        </w:rPr>
        <w:t>南宁</w:t>
      </w:r>
      <w:r>
        <w:rPr>
          <w:rFonts w:hint="eastAsia" w:ascii="Calibri" w:hAnsi="宋体" w:eastAsia="宋体" w:cs="Times New Roman"/>
          <w:sz w:val="24"/>
        </w:rPr>
        <w:t>市场监督管理局立项，广西中医药大学负责起草。</w:t>
      </w:r>
    </w:p>
    <w:p>
      <w:pPr>
        <w:spacing w:line="440" w:lineRule="exact"/>
        <w:ind w:firstLine="480" w:firstLineChars="200"/>
        <w:rPr>
          <w:rFonts w:ascii="Calibri" w:hAnsi="宋体" w:eastAsia="宋体" w:cs="Times New Roman"/>
          <w:sz w:val="24"/>
        </w:rPr>
      </w:pPr>
      <w:r>
        <w:rPr>
          <w:rFonts w:hint="eastAsia" w:ascii="Calibri" w:hAnsi="宋体" w:eastAsia="宋体" w:cs="Times New Roman"/>
          <w:sz w:val="24"/>
        </w:rPr>
        <w:t>本标准承蒙2014年广西壮族自治区科学技术厅下达的广西科学研究与技术开发计划项目“</w:t>
      </w:r>
      <w:bookmarkStart w:id="0" w:name="topicName1"/>
      <w:r>
        <w:rPr>
          <w:rFonts w:hint="eastAsia" w:ascii="Calibri" w:hAnsi="宋体" w:eastAsia="宋体" w:cs="Times New Roman"/>
          <w:sz w:val="24"/>
        </w:rPr>
        <w:t>壮医湿毒病特色疗法技术规范化研究与示范</w:t>
      </w:r>
      <w:bookmarkEnd w:id="0"/>
      <w:r>
        <w:rPr>
          <w:rFonts w:hint="eastAsia" w:ascii="Calibri" w:hAnsi="宋体" w:eastAsia="宋体" w:cs="Times New Roman"/>
          <w:sz w:val="24"/>
        </w:rPr>
        <w:t>”（桂</w:t>
      </w:r>
      <w:bookmarkStart w:id="1" w:name="contractNo"/>
      <w:r>
        <w:rPr>
          <w:rFonts w:hint="eastAsia" w:ascii="Calibri" w:hAnsi="宋体" w:eastAsia="宋体" w:cs="Times New Roman"/>
          <w:sz w:val="24"/>
        </w:rPr>
        <w:t>科攻14124003-10</w:t>
      </w:r>
      <w:bookmarkEnd w:id="1"/>
      <w:r>
        <w:rPr>
          <w:rFonts w:hint="eastAsia" w:ascii="Calibri" w:hAnsi="宋体" w:eastAsia="宋体" w:cs="Times New Roman"/>
          <w:sz w:val="24"/>
        </w:rPr>
        <w:t>）资金支持。</w:t>
      </w:r>
    </w:p>
    <w:p>
      <w:pPr>
        <w:spacing w:line="440" w:lineRule="exact"/>
        <w:ind w:firstLine="480" w:firstLineChars="200"/>
        <w:rPr>
          <w:rFonts w:ascii="Calibri" w:hAnsi="宋体" w:eastAsia="宋体" w:cs="Times New Roman"/>
          <w:sz w:val="24"/>
        </w:rPr>
      </w:pPr>
      <w:r>
        <w:rPr>
          <w:rFonts w:hint="eastAsia" w:ascii="Calibri" w:hAnsi="宋体" w:eastAsia="宋体" w:cs="Times New Roman"/>
          <w:sz w:val="24"/>
        </w:rPr>
        <w:t>（二）主要起草单位</w:t>
      </w:r>
    </w:p>
    <w:p>
      <w:pPr>
        <w:spacing w:line="440" w:lineRule="exact"/>
        <w:ind w:firstLine="480" w:firstLineChars="200"/>
        <w:rPr>
          <w:rFonts w:hint="eastAsia" w:ascii="Calibri" w:hAnsi="宋体" w:eastAsia="宋体" w:cs="Times New Roman"/>
          <w:sz w:val="24"/>
        </w:rPr>
      </w:pPr>
      <w:r>
        <w:rPr>
          <w:rFonts w:hint="eastAsia" w:ascii="Calibri" w:hAnsi="宋体" w:eastAsia="宋体" w:cs="Times New Roman"/>
          <w:sz w:val="24"/>
          <w:lang w:val="zh-CN"/>
        </w:rPr>
        <w:t>本标准由广西中医药大学</w:t>
      </w:r>
      <w:r>
        <w:rPr>
          <w:rFonts w:hint="eastAsia" w:ascii="Calibri" w:hAnsi="宋体" w:eastAsia="宋体" w:cs="Times New Roman"/>
          <w:sz w:val="24"/>
        </w:rPr>
        <w:t>负责起草完成。</w:t>
      </w:r>
    </w:p>
    <w:p>
      <w:pPr>
        <w:spacing w:line="440" w:lineRule="exact"/>
        <w:ind w:firstLine="480" w:firstLineChars="200"/>
        <w:rPr>
          <w:rFonts w:ascii="Calibri" w:hAnsi="宋体" w:eastAsia="宋体" w:cs="Times New Roman"/>
          <w:sz w:val="24"/>
        </w:rPr>
      </w:pPr>
      <w:r>
        <w:rPr>
          <w:rFonts w:hint="eastAsia" w:ascii="Calibri" w:hAnsi="宋体" w:eastAsia="宋体" w:cs="Times New Roman"/>
          <w:sz w:val="24"/>
        </w:rPr>
        <w:t>（三）主要起草人员名单</w:t>
      </w:r>
    </w:p>
    <w:p>
      <w:pPr>
        <w:autoSpaceDE w:val="0"/>
        <w:autoSpaceDN w:val="0"/>
        <w:adjustRightInd w:val="0"/>
        <w:spacing w:line="440" w:lineRule="exact"/>
        <w:ind w:firstLine="120" w:firstLineChars="50"/>
        <w:rPr>
          <w:rFonts w:hint="eastAsia" w:ascii="Times New Roman" w:hAnsi="宋体" w:eastAsia="宋体" w:cs="Times New Roman"/>
          <w:sz w:val="24"/>
          <w:lang w:val="zh-CN"/>
        </w:rPr>
      </w:pPr>
      <w:r>
        <w:rPr>
          <w:rFonts w:hint="eastAsia" w:asciiTheme="minorEastAsia" w:hAnsiTheme="minorEastAsia" w:eastAsiaTheme="minorEastAsia" w:cstheme="minorEastAsia"/>
          <w:b/>
          <w:sz w:val="24"/>
        </w:rPr>
        <w:t xml:space="preserve">  </w:t>
      </w:r>
      <w:r>
        <w:rPr>
          <w:rFonts w:hint="eastAsia" w:ascii="Times New Roman" w:hAnsi="宋体" w:eastAsia="宋体" w:cs="Times New Roman"/>
          <w:sz w:val="24"/>
          <w:lang w:val="zh-CN"/>
        </w:rPr>
        <w:t>主要起草人员名单如下：</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001"/>
        <w:gridCol w:w="1386"/>
        <w:gridCol w:w="963"/>
        <w:gridCol w:w="3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研制人员</w:t>
            </w: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职务/职称</w:t>
            </w:r>
          </w:p>
        </w:tc>
        <w:tc>
          <w:tcPr>
            <w:tcW w:w="963"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专业</w:t>
            </w:r>
          </w:p>
        </w:tc>
        <w:tc>
          <w:tcPr>
            <w:tcW w:w="34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项目负责人</w:t>
            </w: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庞宇舟</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教授</w:t>
            </w:r>
          </w:p>
        </w:tc>
        <w:tc>
          <w:tcPr>
            <w:tcW w:w="963"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壮医药</w:t>
            </w:r>
          </w:p>
        </w:tc>
        <w:tc>
          <w:tcPr>
            <w:tcW w:w="34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广西中医药大学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restart"/>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主要参加人员</w:t>
            </w: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曾振东</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主任医师</w:t>
            </w:r>
          </w:p>
        </w:tc>
        <w:tc>
          <w:tcPr>
            <w:tcW w:w="963"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壮医学</w:t>
            </w:r>
          </w:p>
        </w:tc>
        <w:tc>
          <w:tcPr>
            <w:tcW w:w="34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广西中医药大学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方刚</w:t>
            </w:r>
          </w:p>
        </w:tc>
        <w:tc>
          <w:tcPr>
            <w:tcW w:w="1386" w:type="dxa"/>
            <w:vAlign w:val="center"/>
          </w:tcPr>
          <w:p>
            <w:pPr>
              <w:jc w:val="center"/>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副</w:t>
            </w:r>
            <w:r>
              <w:rPr>
                <w:rFonts w:hint="eastAsia" w:asciiTheme="minorEastAsia" w:hAnsiTheme="minorEastAsia" w:eastAsiaTheme="minorEastAsia" w:cstheme="minorEastAsia"/>
                <w:kern w:val="0"/>
                <w:sz w:val="24"/>
                <w:szCs w:val="24"/>
                <w:lang w:eastAsia="zh-CN"/>
              </w:rPr>
              <w:t>教授</w:t>
            </w:r>
          </w:p>
        </w:tc>
        <w:tc>
          <w:tcPr>
            <w:tcW w:w="963"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壮医学</w:t>
            </w:r>
          </w:p>
        </w:tc>
        <w:tc>
          <w:tcPr>
            <w:tcW w:w="34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广西中医药大学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邢沙沙</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主治医师</w:t>
            </w:r>
          </w:p>
        </w:tc>
        <w:tc>
          <w:tcPr>
            <w:tcW w:w="963"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中医学</w:t>
            </w:r>
          </w:p>
        </w:tc>
        <w:tc>
          <w:tcPr>
            <w:tcW w:w="3401"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广西中医药大学附属瑞康医院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徐晶</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主治医师</w:t>
            </w:r>
          </w:p>
        </w:tc>
        <w:tc>
          <w:tcPr>
            <w:tcW w:w="963"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壮医学</w:t>
            </w:r>
          </w:p>
        </w:tc>
        <w:tc>
          <w:tcPr>
            <w:tcW w:w="3401"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广西中医药大学第一附属医院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张青槐</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讲师</w:t>
            </w:r>
          </w:p>
        </w:tc>
        <w:tc>
          <w:tcPr>
            <w:tcW w:w="963"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中医学</w:t>
            </w:r>
          </w:p>
        </w:tc>
        <w:tc>
          <w:tcPr>
            <w:tcW w:w="3401"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广西中医药大学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汤倩倩</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讲师</w:t>
            </w:r>
          </w:p>
        </w:tc>
        <w:tc>
          <w:tcPr>
            <w:tcW w:w="963"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中医学</w:t>
            </w:r>
          </w:p>
        </w:tc>
        <w:tc>
          <w:tcPr>
            <w:tcW w:w="3401" w:type="dxa"/>
            <w:vAlign w:val="center"/>
          </w:tcPr>
          <w:p>
            <w:pPr>
              <w:jc w:val="center"/>
              <w:rPr>
                <w:rFonts w:hint="eastAsia" w:asciiTheme="minorEastAsia" w:hAnsiTheme="minorEastAsia" w:eastAsiaTheme="minorEastAsia" w:cstheme="minorEastAsia"/>
                <w:spacing w:val="-6"/>
                <w:sz w:val="24"/>
                <w:szCs w:val="24"/>
                <w:lang w:eastAsia="zh-CN"/>
              </w:rPr>
            </w:pPr>
            <w:r>
              <w:rPr>
                <w:rFonts w:hint="eastAsia" w:asciiTheme="minorEastAsia" w:hAnsiTheme="minorEastAsia" w:eastAsiaTheme="minorEastAsia" w:cstheme="minorEastAsia"/>
                <w:spacing w:val="-6"/>
                <w:sz w:val="24"/>
                <w:szCs w:val="24"/>
                <w:lang w:eastAsia="zh-CN"/>
              </w:rPr>
              <w:t>东莞中山大学附属华东医院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黄安</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主治医师</w:t>
            </w:r>
          </w:p>
        </w:tc>
        <w:tc>
          <w:tcPr>
            <w:tcW w:w="963"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壮医学</w:t>
            </w:r>
          </w:p>
        </w:tc>
        <w:tc>
          <w:tcPr>
            <w:tcW w:w="3401"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广西中医药大学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771" w:type="dxa"/>
            <w:vMerge w:val="continue"/>
            <w:vAlign w:val="center"/>
          </w:tcPr>
          <w:p>
            <w:pPr>
              <w:autoSpaceDE w:val="0"/>
              <w:autoSpaceDN w:val="0"/>
              <w:adjustRightInd w:val="0"/>
              <w:spacing w:line="440" w:lineRule="exact"/>
              <w:jc w:val="center"/>
              <w:rPr>
                <w:rFonts w:hint="eastAsia" w:asciiTheme="minorEastAsia" w:hAnsiTheme="minorEastAsia" w:eastAsiaTheme="minorEastAsia" w:cstheme="minorEastAsia"/>
                <w:kern w:val="0"/>
                <w:sz w:val="24"/>
                <w:szCs w:val="24"/>
              </w:rPr>
            </w:pPr>
          </w:p>
        </w:tc>
        <w:tc>
          <w:tcPr>
            <w:tcW w:w="1001"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罗志洪</w:t>
            </w:r>
          </w:p>
        </w:tc>
        <w:tc>
          <w:tcPr>
            <w:tcW w:w="1386" w:type="dxa"/>
            <w:vAlign w:val="center"/>
          </w:tcPr>
          <w:p>
            <w:pPr>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主治医师</w:t>
            </w:r>
          </w:p>
        </w:tc>
        <w:tc>
          <w:tcPr>
            <w:tcW w:w="963" w:type="dxa"/>
            <w:vAlign w:val="center"/>
          </w:tcPr>
          <w:p>
            <w:pPr>
              <w:jc w:val="center"/>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中医学</w:t>
            </w:r>
          </w:p>
        </w:tc>
        <w:tc>
          <w:tcPr>
            <w:tcW w:w="3401" w:type="dxa"/>
            <w:vAlign w:val="center"/>
          </w:tcPr>
          <w:p>
            <w:pPr>
              <w:jc w:val="center"/>
              <w:rPr>
                <w:rFonts w:hint="eastAsia" w:asciiTheme="minorEastAsia" w:hAnsiTheme="minorEastAsia" w:eastAsiaTheme="minorEastAsia" w:cstheme="minorEastAsia"/>
                <w:spacing w:val="-6"/>
                <w:sz w:val="24"/>
                <w:szCs w:val="24"/>
              </w:rPr>
            </w:pPr>
            <w:r>
              <w:rPr>
                <w:rFonts w:hint="eastAsia"/>
                <w:kern w:val="0"/>
                <w:sz w:val="24"/>
              </w:rPr>
              <w:t>东莞中山大学附属华东医院</w:t>
            </w:r>
          </w:p>
        </w:tc>
      </w:tr>
    </w:tbl>
    <w:p>
      <w:pPr>
        <w:autoSpaceDE w:val="0"/>
        <w:autoSpaceDN w:val="0"/>
        <w:adjustRightInd w:val="0"/>
        <w:spacing w:line="480" w:lineRule="exact"/>
        <w:rPr>
          <w:rFonts w:hint="eastAsia" w:ascii="黑体" w:hAnsi="黑体" w:eastAsia="黑体" w:cstheme="minorEastAsia"/>
          <w:bCs/>
          <w:sz w:val="32"/>
          <w:szCs w:val="32"/>
        </w:rPr>
      </w:pPr>
    </w:p>
    <w:p>
      <w:pPr>
        <w:spacing w:line="440" w:lineRule="exact"/>
        <w:ind w:firstLine="482" w:firstLineChars="200"/>
        <w:rPr>
          <w:rFonts w:hint="eastAsia" w:ascii="Times New Roman" w:hAnsi="宋体" w:eastAsia="宋体" w:cs="Times New Roman"/>
          <w:b/>
          <w:sz w:val="24"/>
        </w:rPr>
      </w:pPr>
      <w:r>
        <w:rPr>
          <w:rFonts w:hint="eastAsia" w:ascii="Times New Roman" w:hAnsi="宋体" w:eastAsia="宋体" w:cs="Times New Roman"/>
          <w:b/>
          <w:sz w:val="24"/>
        </w:rPr>
        <w:t>二</w:t>
      </w:r>
      <w:r>
        <w:rPr>
          <w:rFonts w:hint="eastAsia" w:ascii="Times New Roman" w:hAnsi="宋体" w:eastAsia="宋体" w:cs="Times New Roman"/>
          <w:b/>
          <w:sz w:val="24"/>
          <w:lang w:val="zh-CN"/>
        </w:rPr>
        <w:t>、编制标准意义</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一）壮医热敏探穴针刺疗法是一种创新型壮医特色疗法。该疗法是在壮医毒论的指导下，以壮医湿毒病为切入点，通过快速、准确探查出热敏点并进行壮医针刺，从而达到调节和畅通人体气血，增强人体抗病能力的作用，临床应用广泛。</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（二）壮医热敏探穴针刺疗法技术的推广应用，将有利于以点带面，继承和发展壮医有效防治疾病的手段和方法，促进壮医学术的发展，提升广西壮医药服务质量和促进壮医健康发展。</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（三）该疗法操作简便、价格低廉、疗效肯定。该疗法技术的推广应用，有利于降低医疗成本，缓解人民群众看病难看病贵的问题。</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四）目前，此种治病方法在术语和定义、理论依据、治疗范围、操作规范、注意事项等方面缺乏统一的标准，严重影响了它的临床推广和发展。本标准的制定，既填补了国内壮医热敏探穴针刺疗法的空白，又规范了壮医热敏探穴针刺疗法的操作规程，具有一定的先进性和实用性。</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（五）通过制定《壮医热敏探穴针刺疗法技术规范》，使该疗法进一步在广西乃至区外、国外得到推广与应用，形成壮医实用适宜技术品牌。</w:t>
      </w:r>
    </w:p>
    <w:p>
      <w:pPr>
        <w:spacing w:line="440" w:lineRule="exact"/>
        <w:ind w:firstLine="482" w:firstLineChars="200"/>
        <w:rPr>
          <w:rFonts w:hint="eastAsia" w:ascii="Times New Roman" w:hAnsi="宋体" w:eastAsia="宋体" w:cs="Times New Roman"/>
          <w:b/>
          <w:sz w:val="24"/>
          <w:lang w:val="zh-CN"/>
        </w:rPr>
      </w:pPr>
      <w:r>
        <w:rPr>
          <w:rFonts w:hint="eastAsia" w:ascii="Times New Roman" w:hAnsi="宋体" w:eastAsia="宋体" w:cs="Times New Roman"/>
          <w:b/>
          <w:sz w:val="24"/>
          <w:lang w:val="zh-CN"/>
        </w:rPr>
        <w:t>三、标准编制及研究起草过程</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（一）标准前期工作</w:t>
      </w:r>
    </w:p>
    <w:p>
      <w:pPr>
        <w:spacing w:line="440" w:lineRule="exact"/>
        <w:ind w:firstLine="480" w:firstLineChars="200"/>
        <w:rPr>
          <w:rFonts w:hint="default" w:ascii="Times New Roman" w:hAnsi="宋体" w:eastAsia="宋体" w:cs="Times New Roman"/>
          <w:sz w:val="24"/>
          <w:lang w:val="en-US" w:eastAsia="zh-CN"/>
        </w:rPr>
      </w:pPr>
      <w:r>
        <w:rPr>
          <w:rFonts w:hint="eastAsia" w:ascii="Times New Roman" w:hAnsi="宋体" w:eastAsia="宋体" w:cs="Times New Roman"/>
          <w:sz w:val="24"/>
          <w:lang w:val="zh-CN"/>
        </w:rPr>
        <w:t>1、2014年开始，标准编制小组在广西壮族自治区科学技术厅下达的广西科学研究与技术开发计划</w:t>
      </w:r>
      <w:bookmarkStart w:id="2" w:name="topicName"/>
      <w:r>
        <w:rPr>
          <w:rFonts w:hint="eastAsia" w:ascii="Times New Roman" w:hAnsi="宋体" w:eastAsia="宋体" w:cs="Times New Roman"/>
          <w:sz w:val="24"/>
          <w:lang w:val="zh-CN"/>
        </w:rPr>
        <w:t>项目壮医湿毒病特色疗法技术规范化研究与示范</w:t>
      </w:r>
      <w:bookmarkEnd w:id="2"/>
      <w:r>
        <w:rPr>
          <w:rFonts w:hint="eastAsia" w:ascii="Times New Roman" w:hAnsi="宋体" w:eastAsia="宋体" w:cs="Times New Roman"/>
          <w:sz w:val="24"/>
          <w:lang w:val="zh-CN"/>
        </w:rPr>
        <w:t>（桂科攻14124003-10）的经费支持下，开展壮医热敏探穴针刺疗法的技术推广，</w:t>
      </w:r>
      <w:r>
        <w:rPr>
          <w:rFonts w:hint="eastAsia" w:ascii="Times New Roman" w:hAnsi="宋体" w:eastAsia="宋体" w:cs="Times New Roman"/>
          <w:sz w:val="24"/>
          <w:lang w:val="zh-CN" w:eastAsia="zh-CN"/>
        </w:rPr>
        <w:t>主要</w:t>
      </w:r>
      <w:r>
        <w:rPr>
          <w:rFonts w:hint="eastAsia" w:ascii="Times New Roman" w:hAnsi="宋体" w:eastAsia="宋体" w:cs="Times New Roman"/>
          <w:sz w:val="24"/>
          <w:lang w:val="zh-CN"/>
        </w:rPr>
        <w:t>通过收集病历，并使用热敏探穴针刺疗法</w:t>
      </w:r>
      <w:r>
        <w:rPr>
          <w:rFonts w:hint="eastAsia" w:ascii="Times New Roman" w:hAnsi="宋体" w:eastAsia="宋体" w:cs="Times New Roman"/>
          <w:sz w:val="24"/>
          <w:lang w:val="zh-CN" w:eastAsia="zh-CN"/>
        </w:rPr>
        <w:t>观察组</w:t>
      </w:r>
      <w:r>
        <w:rPr>
          <w:rFonts w:hint="eastAsia" w:ascii="Times New Roman" w:hAnsi="宋体" w:eastAsia="宋体" w:cs="Times New Roman"/>
          <w:sz w:val="24"/>
          <w:lang w:val="zh-CN"/>
        </w:rPr>
        <w:t>与对照组进行对比研究</w:t>
      </w:r>
      <w:r>
        <w:rPr>
          <w:rFonts w:hint="eastAsia" w:ascii="Times New Roman" w:hAnsi="宋体" w:eastAsia="宋体" w:cs="Times New Roman"/>
          <w:sz w:val="24"/>
          <w:lang w:val="zh-CN" w:eastAsia="zh-CN"/>
        </w:rPr>
        <w:t>治疗发旺的临床效果</w:t>
      </w:r>
      <w:r>
        <w:rPr>
          <w:rFonts w:hint="eastAsia" w:ascii="Times New Roman" w:hAnsi="宋体" w:eastAsia="宋体" w:cs="Times New Roman"/>
          <w:sz w:val="24"/>
          <w:lang w:val="zh-CN"/>
        </w:rPr>
        <w:t>，</w:t>
      </w:r>
      <w:r>
        <w:rPr>
          <w:rFonts w:hint="eastAsia" w:ascii="Times New Roman" w:hAnsi="宋体" w:eastAsia="宋体" w:cs="Times New Roman"/>
          <w:sz w:val="24"/>
          <w:lang w:val="zh-CN" w:eastAsia="zh-CN"/>
        </w:rPr>
        <w:t>实验结果提示观察组有效率达</w:t>
      </w:r>
      <w:r>
        <w:rPr>
          <w:rFonts w:hint="eastAsia" w:ascii="Times New Roman" w:hAnsi="宋体" w:eastAsia="宋体" w:cs="Times New Roman"/>
          <w:sz w:val="24"/>
          <w:lang w:val="en-US" w:eastAsia="zh-CN"/>
        </w:rPr>
        <w:t>85.19%，对照组有效率为70.73%，统计学差异明显，经治疗，患者晨僵时间、双手握力、关节疼痛肿胀均能得到明显改善。此结果</w:t>
      </w:r>
      <w:r>
        <w:rPr>
          <w:rFonts w:hint="eastAsia" w:ascii="Times New Roman" w:hAnsi="宋体" w:eastAsia="宋体" w:cs="Times New Roman"/>
          <w:sz w:val="24"/>
          <w:lang w:val="zh-CN"/>
        </w:rPr>
        <w:t>客观的评价了壮医热敏探穴针刺疗法的临床效果。通过展开壮医热敏探穴针刺疗法技术培训使该技术得以广泛推广</w:t>
      </w:r>
      <w:r>
        <w:rPr>
          <w:rFonts w:hint="eastAsia" w:ascii="Times New Roman" w:hAnsi="宋体" w:eastAsia="宋体" w:cs="Times New Roman"/>
          <w:sz w:val="24"/>
          <w:lang w:val="zh-CN" w:eastAsia="zh-CN"/>
        </w:rPr>
        <w:t>。</w:t>
      </w:r>
      <w:r>
        <w:rPr>
          <w:rFonts w:hint="eastAsia" w:ascii="Times New Roman" w:hAnsi="宋体" w:eastAsia="宋体" w:cs="Times New Roman"/>
          <w:sz w:val="24"/>
          <w:lang w:val="zh-CN"/>
        </w:rPr>
        <w:t>目前，该课题已经顺利结题，完成了壮医热敏探穴针刺疗法的临床观察并发表文章</w:t>
      </w:r>
      <w:r>
        <w:rPr>
          <w:rFonts w:hint="eastAsia" w:ascii="Times New Roman" w:hAnsi="宋体" w:eastAsia="宋体" w:cs="Times New Roman"/>
          <w:sz w:val="24"/>
          <w:lang w:val="zh-CN" w:eastAsia="zh-CN"/>
        </w:rPr>
        <w:t>《壮医热敏探穴针刺辅助治疗类风湿关节炎临床效果》、《壮医热敏探穴针刺疗法治疗类风湿关节炎临床外治疗效评价与规范治疗方案》。完成了申请发明专利壮医药艾条组合物（申请号201511027485.4）并申请实用新型专利一种用于壮医热敏探穴针刺疗法的辅助装置（申请号20182111</w:t>
      </w:r>
      <w:r>
        <w:rPr>
          <w:rFonts w:hint="eastAsia" w:ascii="Times New Roman" w:hAnsi="宋体" w:eastAsia="宋体" w:cs="Times New Roman"/>
          <w:sz w:val="24"/>
          <w:lang w:val="en-US" w:eastAsia="zh-CN"/>
        </w:rPr>
        <w:t>2307</w:t>
      </w:r>
      <w:r>
        <w:rPr>
          <w:rFonts w:hint="eastAsia" w:ascii="Times New Roman" w:hAnsi="宋体" w:eastAsia="宋体" w:cs="Times New Roman"/>
          <w:sz w:val="24"/>
          <w:lang w:val="zh-CN" w:eastAsia="zh-CN"/>
        </w:rPr>
        <w:t>.1）。在临床研究基础上申报广西高校重点实验室壮医方药基础与应用研究重点实验室、广西工程技术研究中心广西壮瑶药工程技术研究中心（培育）、临床研究平台壮医湿毒病防治联盟。该课题联合柳州市中医院、崇左市中医壮医医院开展壮医特色外治临床研究，运用壮医热敏探穴针刺疗法治疗类风湿关节炎，均认为该理论及治疗方法有较强的科学性、操作性，具有较好的临床推广应用价值。</w:t>
      </w:r>
    </w:p>
    <w:p>
      <w:pPr>
        <w:spacing w:line="440" w:lineRule="exact"/>
        <w:ind w:firstLine="480" w:firstLineChars="200"/>
        <w:rPr>
          <w:rFonts w:hint="eastAsia" w:ascii="Times New Roman" w:hAnsi="宋体" w:eastAsia="宋体" w:cs="Times New Roman"/>
          <w:sz w:val="24"/>
          <w:lang w:val="zh-CN" w:eastAsia="zh-CN"/>
        </w:rPr>
      </w:pPr>
      <w:r>
        <w:rPr>
          <w:rFonts w:hint="eastAsia" w:ascii="Times New Roman" w:hAnsi="宋体" w:eastAsia="宋体" w:cs="Times New Roman"/>
          <w:sz w:val="24"/>
          <w:lang w:val="en-US" w:eastAsia="zh-CN"/>
        </w:rPr>
        <w:t>2017年申报</w:t>
      </w:r>
      <w:r>
        <w:rPr>
          <w:rFonts w:hint="eastAsia" w:ascii="Times New Roman" w:hAnsi="宋体" w:eastAsia="宋体" w:cs="Times New Roman"/>
          <w:sz w:val="24"/>
          <w:lang w:val="zh-CN"/>
        </w:rPr>
        <w:t>广西医疗卫生适宜技术开发与推广应用项目</w:t>
      </w:r>
      <w:r>
        <w:rPr>
          <w:rFonts w:hint="eastAsia" w:ascii="Times New Roman" w:hAnsi="宋体" w:eastAsia="宋体" w:cs="Times New Roman"/>
          <w:sz w:val="24"/>
          <w:lang w:val="zh-CN" w:eastAsia="zh-CN"/>
        </w:rPr>
        <w:t>《</w:t>
      </w:r>
      <w:r>
        <w:rPr>
          <w:rFonts w:hint="eastAsia" w:ascii="Times New Roman" w:hAnsi="宋体" w:eastAsia="宋体" w:cs="Times New Roman"/>
          <w:sz w:val="24"/>
          <w:lang w:val="en-US" w:eastAsia="zh-CN"/>
        </w:rPr>
        <w:t>壮医热敏探穴针刺疗法治疗类风湿性关节炎适宜技术应用与推广研究</w:t>
      </w:r>
      <w:r>
        <w:rPr>
          <w:rFonts w:hint="eastAsia" w:ascii="Times New Roman" w:hAnsi="宋体" w:eastAsia="宋体" w:cs="Times New Roman"/>
          <w:sz w:val="24"/>
          <w:lang w:val="zh-CN" w:eastAsia="zh-CN"/>
        </w:rPr>
        <w:t>》，通过与玉林中医院、武鸣区中医院两家单位合作来推广壮医热敏探穴针刺疗法治疗类风湿关节炎。</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2、标准主管部门广西壮族自治区质量技术监督局下达2018年第二批广西地方标准制定项目计划的通知后，我们及时成立了标准起草小组，小组负责人为广西中医药大学党委副书记庞宇舟教授，曾振东、方刚等为编制小组成员，同时部署了工作方案和小组成员编制工作时间安排表。在编制过程中，我们在广泛调查和试验研究的同时还咨询了相关权威专家，力争编制工作过程科学、严谨，方法、技术路线正确。</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（二）标准研究过程</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1、标准编制项目下达后，按照广西区质监局关于编制标准工作的要求，编制小组于项目实施期间，多次对壮医热敏探穴针刺疗法技术规范进行反复推敲论证，确保此项技术的规范性和科学性。同时，小组成员在编制过程多渠道去咨询内行专家，确保标准制定的科学性及实用性。</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2、编制小组对此项技术规范在推广单位应用的情况及数据进行全面整理，初步制定了壮医热敏探穴针刺疗法技术规范，该规范有着较强的科学性、操作性，实用性，具有较好的临床推广应用价值。在编制过程中咨询了技术规范方面的专家，对收到的反馈意见进行分析、采纳、修改，形成了本标准的征求意见稿。</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四、标准编写原则及确定标准内容的论据</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（一）标准编写原则</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1、遵循《中华人民共和国标准化法》等法规和标准。</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2、本标准的格式和编写方法执行GB/T 1.1-2009的规定。</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3、本标准的制定力求准确、系统，内容与当前临床运用紧密结合，重视可操作性。</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（二）标准编写依据</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1、理论依据：20 世纪 80 年代江西中医学院陈日新等</w:t>
      </w:r>
      <w:r>
        <w:rPr>
          <w:rFonts w:hint="eastAsia" w:ascii="Times New Roman" w:hAnsi="宋体" w:eastAsia="宋体" w:cs="Times New Roman"/>
          <w:sz w:val="24"/>
          <w:vertAlign w:val="superscript"/>
          <w:lang w:val="zh-CN"/>
        </w:rPr>
        <w:t>［1］</w:t>
      </w:r>
      <w:r>
        <w:rPr>
          <w:rFonts w:hint="eastAsia" w:ascii="Times New Roman" w:hAnsi="宋体" w:eastAsia="宋体" w:cs="Times New Roman"/>
          <w:sz w:val="24"/>
          <w:lang w:val="zh-CN"/>
        </w:rPr>
        <w:t>在临床施灸过程中发现以下生命现象，(1) 透热灸热从施灸点皮肤表面直接向深部组织穿透，甚至达胸腹腔脏器( 2) 扩热灸热以施灸点为中心向周围扩散(3) 传热灸热从施灸点开始循经脉路线向远部传导，甚至达病所(4) 局部不(微) 热远部热施灸部位不热或微热,而远离施灸部位的病所处感觉甚热(5) 表面不(微) 热深部热施灸部位的皮肤不热或微热，而皮肤下深部组织甚至胸腹腔脏器感觉甚热 ( 6) 产生其他非热感觉: 施灸(悬灸) 部位或远离施灸部位产生酸、胀、压、重、痛、麻、冷等非热感觉; (7) 上述灸感传导之处，病症随之而缓解: 施灸部位产生的热、胀、痛等感觉发生深透远传，所到之处，病症随之缓解。以上前7种灸疗现象的发生有一个共同的特征，就是相关腧穴对艾热异常敏感，产生“小刺激大反应”现象( 其他非相关腧穴对艾热仅产生局部和表面的热感) 这种现象为腧穴热敏化现象，这些已热敏化的腧穴称为热敏化腧穴，同时认为人体腧穴存在静息态与敏化态两种状态，人体在疾病状态下，体表腧穴可能发生敏化，敏化态的腧穴对外界相关刺激呈现“小刺激大反应”，从而创立了以经络理论为指导，采用艾条温和灸体表的热敏化穴激发经络感传，促进经气运行以使气至病所的“热敏灸疗法”。</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壮医虽未提出腧穴热敏化之说，但壮医针法和灸法历史悠久，方法众多。</w:t>
      </w:r>
      <w:r>
        <w:rPr>
          <w:rFonts w:hint="eastAsia" w:ascii="Times New Roman" w:hAnsi="宋体" w:eastAsia="宋体" w:cs="Times New Roman"/>
          <w:sz w:val="24"/>
          <w:lang w:val="en-US" w:eastAsia="zh-CN"/>
        </w:rPr>
        <w:t>壮医认为，人体内部存在“谷道”“气道”“水道”三条开放通道和“龙路”“火路”两条内封闭通路，其中，“谷道”“气道”“水道”与脏腑相连，通过脏腑的化生调节，实现食物、气体和水液的正常消化、交换和代谢; 而 “龙路”“火路”分别是人体血液的通路和信息通道，有干线、网络，遍布全身，维持人体的血液循环和信息传递处理。正常情况下，三道两路畅通，调节有度，人体之气就能与天地之气保持同步协调平衡，处于健康状态。若某种原因导致三道两路阻塞或调节失度，就会造成三气不能同步而致病。病理状态下，三道两路阻塞，必然导致“龙路”“火路”循行的体表部位气聚不通，形成类似于腧穴敏化态的状态，此时，运用腧穴热敏化技术可探查“龙路”“火路”瘀滞之热敏点，为疏通 “龙路”“火路”，治疗相关疾病提供更有针对性的针刺选穴。</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2、实验研究依据</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通过借鉴腧穴热敏化技术研究的成果，从理论和实践层面对壮医腧穴热敏化探穴方法进行了大胆的探索，初步形成了壮医腧穴热敏化探穴的技术和方法，运用于“发旺”的治疗，取得了较好的效果。</w:t>
      </w:r>
    </w:p>
    <w:p>
      <w:pPr>
        <w:spacing w:line="440" w:lineRule="exact"/>
        <w:ind w:firstLine="480" w:firstLineChars="200"/>
        <w:rPr>
          <w:rFonts w:hint="eastAsia" w:ascii="仿宋_GB2312" w:eastAsia="仿宋_GB2312" w:hAnsiTheme="minorEastAsia" w:cstheme="minorEastAsia"/>
          <w:sz w:val="32"/>
          <w:szCs w:val="32"/>
          <w:lang w:val="zh-CN"/>
        </w:rPr>
      </w:pPr>
      <w:r>
        <w:rPr>
          <w:rFonts w:hint="eastAsia" w:ascii="Times New Roman" w:hAnsi="宋体" w:eastAsia="宋体" w:cs="Times New Roman"/>
          <w:sz w:val="24"/>
          <w:lang w:val="en-US" w:eastAsia="zh-CN"/>
        </w:rPr>
        <w:t>2015年-2017年收集从广西中医药大学第一附属医院、广西中医药大学附属瑞康医院风湿科就诊患者168例，按照简单随机、平行对照、非盲的方法分组，分为观察组和对照组。对照组予药物治疗甲氨蝶呤、柳氮磺吡啶肠溶片、硫酸羟氯喹、美洛昔康，观察组在药物治疗基础上加用热敏探穴针刺疗法治疗。通过观察患者症状、体征及实验室检查结果，采用尼莫地平法进行疗效评价，本研究显示，运用壮医热敏探穴针刺疗法治疗类风湿关节炎能迅速而明显地缩短患者晨僵时间、提高双手握力，减少关节疼痛数目和肿胀数目，能明显降低患者 VAS 评分、DAS 28 评分，缓解疾病活动度，提高患者生活质量；能明显降低 CRP、ESR 水平，对类风湿关节炎起到良好的消炎镇痛作用。而且本疗法治疗活动期类风湿关节炎具有良好的安全性，不良事件发生率较低，绝大多数不良反应为轻度，对症治疗后即可缓解。</w:t>
      </w:r>
    </w:p>
    <w:p>
      <w:pPr>
        <w:spacing w:line="440" w:lineRule="exact"/>
        <w:ind w:firstLine="482" w:firstLineChars="200"/>
        <w:rPr>
          <w:rFonts w:ascii="Calibri" w:hAnsi="宋体" w:eastAsia="宋体" w:cs="Times New Roman"/>
          <w:b/>
          <w:sz w:val="24"/>
          <w:lang w:val="zh-CN"/>
        </w:rPr>
      </w:pPr>
      <w:r>
        <w:rPr>
          <w:rFonts w:hint="eastAsia" w:ascii="Calibri" w:hAnsi="宋体" w:eastAsia="宋体" w:cs="Times New Roman"/>
          <w:b/>
          <w:sz w:val="24"/>
          <w:lang w:val="zh-CN"/>
        </w:rPr>
        <w:t>五、标准主要技术内容</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本标准规定壮医热敏探穴针刺疗法的术语和定义、适用病种、操作</w:t>
      </w:r>
      <w:r>
        <w:rPr>
          <w:rFonts w:hint="eastAsia" w:hAnsi="宋体" w:cs="Times New Roman"/>
          <w:sz w:val="24"/>
          <w:lang w:val="zh-CN"/>
        </w:rPr>
        <w:t>方法、</w:t>
      </w:r>
      <w:r>
        <w:rPr>
          <w:rFonts w:hint="eastAsia" w:ascii="Times New Roman" w:hAnsi="宋体" w:eastAsia="宋体" w:cs="Times New Roman"/>
          <w:sz w:val="24"/>
          <w:lang w:val="zh-CN"/>
        </w:rPr>
        <w:t>注意事项。</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（一）定义</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壮医腧穴热敏化探穴是根据壮医对穴位的认识和针灸治疗选穴规律，使用点燃的壮医药艾温和灸探明体表“龙路”“火路”的热敏点，并以这些热敏点作为针刺穴位的方法。</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（二）适用病种</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壮医热敏探穴适用于</w:t>
      </w:r>
      <w:r>
        <w:rPr>
          <w:rFonts w:hint="eastAsia" w:ascii="Times New Roman" w:hAnsi="宋体" w:eastAsia="宋体" w:cs="Times New Roman"/>
          <w:sz w:val="24"/>
          <w:lang w:val="zh-CN" w:eastAsia="zh-CN"/>
        </w:rPr>
        <w:t>气道病、谷道病、水道病、龙路病、火路病、巧坞病、热毒病、血毒病、毒结病、风湿毒病、月经病、带下病、产后病、产后保健等</w:t>
      </w:r>
      <w:r>
        <w:rPr>
          <w:rFonts w:hint="eastAsia" w:ascii="Times New Roman" w:hAnsi="宋体" w:eastAsia="宋体" w:cs="Times New Roman"/>
          <w:sz w:val="24"/>
          <w:lang w:val="zh-CN"/>
        </w:rPr>
        <w:t>，包括</w:t>
      </w:r>
      <w:r>
        <w:rPr>
          <w:rFonts w:hint="eastAsia" w:ascii="Times New Roman" w:hAnsi="宋体" w:eastAsia="宋体" w:cs="Times New Roman"/>
          <w:sz w:val="24"/>
          <w:lang w:val="zh-CN" w:eastAsia="zh-CN"/>
        </w:rPr>
        <w:t>奔唉、得凉、奔墨、钵痨、发塔喃、货咽妈、痧气、胴尹、奔鹿、胴郎、</w:t>
      </w:r>
      <w:bookmarkStart w:id="3" w:name="OLE_LINK1"/>
      <w:r>
        <w:rPr>
          <w:rFonts w:hint="eastAsia" w:ascii="Times New Roman" w:hAnsi="宋体" w:eastAsia="宋体" w:cs="Times New Roman"/>
          <w:sz w:val="24"/>
          <w:lang w:val="zh-CN" w:eastAsia="zh-CN"/>
        </w:rPr>
        <w:t>屙</w:t>
      </w:r>
      <w:bookmarkEnd w:id="3"/>
      <w:r>
        <w:rPr>
          <w:rFonts w:hint="eastAsia" w:ascii="Times New Roman" w:hAnsi="宋体" w:eastAsia="宋体" w:cs="Times New Roman"/>
          <w:sz w:val="24"/>
          <w:lang w:val="zh-CN" w:eastAsia="zh-CN"/>
        </w:rPr>
        <w:t>泻、屙意咪、屙意卡、沙呃、屙幽唍、咁啱、黄标、瘴病、幽扭、幽卡、奔浮、水蛊、唉勒、幽勒、屙意勒、鹿勒、勒内、阿闷、心头跳、血压嗓、发得、麻抹、巧尹、对呐</w:t>
      </w:r>
      <w:bookmarkStart w:id="4" w:name="OLE_LINK2"/>
      <w:r>
        <w:rPr>
          <w:rFonts w:hint="eastAsia" w:ascii="Times New Roman" w:hAnsi="宋体" w:eastAsia="宋体" w:cs="Times New Roman"/>
          <w:sz w:val="24"/>
          <w:lang w:val="zh-CN" w:eastAsia="zh-CN"/>
        </w:rPr>
        <w:t>吒</w:t>
      </w:r>
      <w:bookmarkEnd w:id="4"/>
      <w:r>
        <w:rPr>
          <w:rFonts w:hint="eastAsia" w:ascii="Times New Roman" w:hAnsi="宋体" w:eastAsia="宋体" w:cs="Times New Roman"/>
          <w:sz w:val="24"/>
          <w:lang w:val="zh-CN" w:eastAsia="zh-CN"/>
        </w:rPr>
        <w:t>、喏胁吒、核尹、咔吒、发旺、抽筋、哪呷、病呦、邦呷、年闹诺、兰奔、麦蛮、猪头肥、能风、能唅累、奔呗啷、颈部筋伤、笃绥、颈椎病、肩部筋伤、肘部筋伤、核扭相、腰肌劳损、腰椎键盘突出症、顶灸尹、经到惯、经到楞、、经乱、经赖厄、经赖、经卡、经尹、病淋勒、得塞嘻尹、得塞巧尹、带下病、耷寸、卟佷裆。</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（三）操作方法</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1.器械准备</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应配备如下器械：0.25 mm×25 mm或0.25 mm×40 mm毫针、壮医药艾；酒精灯；75％、95％酒精；消毒棉球；医用棉签；打火机等。</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2体位选择</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2.1 选择原则 以有利于探究热敏点又便于针灸操作和较长时间留针而不致患者疲劳为原则。</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2.2主要体位有以下几种</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2.2.1 仰卧位 平躺于治疗床上，头面胸腹朝上，四肢自然伸直平放。</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2.2.2 侧卧位 侧卧于治疗床上，四肢自然屈曲。</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2.2.3 俯伏坐位 伏坐在治疗椅上，头自然低俯平靠于椅背。</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2.2.4 侧伏坐位 伏坐在治疗椅上，头侧伏于治疗床或椅背上，同侧上肢当放在头部下。</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2.2.5俯卧位 俯卧于治疗床上，头面胸腹朝下，上肢可做环保状至于下颌或额头下。</w:t>
      </w:r>
    </w:p>
    <w:p>
      <w:pPr>
        <w:spacing w:line="440" w:lineRule="exact"/>
        <w:ind w:firstLine="480" w:firstLineChars="200"/>
        <w:rPr>
          <w:rFonts w:hint="default" w:ascii="Times New Roman" w:hAnsi="宋体" w:eastAsia="宋体" w:cs="Times New Roman"/>
          <w:sz w:val="24"/>
          <w:lang w:val="en-US" w:eastAsia="zh-CN"/>
        </w:rPr>
      </w:pPr>
      <w:r>
        <w:rPr>
          <w:rFonts w:hint="eastAsia" w:ascii="Times New Roman" w:hAnsi="宋体" w:eastAsia="宋体" w:cs="Times New Roman"/>
          <w:sz w:val="24"/>
          <w:lang w:val="en-US" w:eastAsia="zh-CN"/>
        </w:rPr>
        <w:t>2.2.6仰靠坐位 背靠坐在治疗以上，头仰起靠在椅背。</w:t>
      </w:r>
    </w:p>
    <w:p>
      <w:pPr>
        <w:spacing w:line="440" w:lineRule="exact"/>
        <w:ind w:firstLine="480" w:firstLineChars="200"/>
        <w:rPr>
          <w:rFonts w:hint="default" w:ascii="Times New Roman" w:hAnsi="宋体" w:eastAsia="宋体" w:cs="Times New Roman"/>
          <w:sz w:val="24"/>
          <w:lang w:val="en-US" w:eastAsia="zh-CN"/>
        </w:rPr>
      </w:pP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3治疗部位</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主要病痛部位及相应穴位。</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 xml:space="preserve">4取穴方法 </w:t>
      </w:r>
    </w:p>
    <w:p>
      <w:pPr>
        <w:spacing w:line="440" w:lineRule="exact"/>
        <w:ind w:firstLine="480" w:firstLineChars="200"/>
        <w:rPr>
          <w:rFonts w:hint="eastAsia" w:ascii="Times New Roman" w:hAnsi="宋体" w:eastAsia="宋体" w:cs="Times New Roman"/>
          <w:sz w:val="24"/>
          <w:lang w:val="en-US" w:eastAsia="zh-CN"/>
        </w:rPr>
      </w:pPr>
      <w:r>
        <w:rPr>
          <w:rFonts w:hint="eastAsia" w:hAnsi="宋体" w:cs="Times New Roman"/>
          <w:sz w:val="24"/>
          <w:lang w:val="en-US" w:eastAsia="zh-CN"/>
        </w:rPr>
        <w:t>4.1</w:t>
      </w:r>
      <w:r>
        <w:rPr>
          <w:rFonts w:hint="eastAsia" w:ascii="Times New Roman" w:hAnsi="宋体" w:eastAsia="宋体" w:cs="Times New Roman"/>
          <w:sz w:val="24"/>
          <w:lang w:val="en-US" w:eastAsia="zh-CN"/>
        </w:rPr>
        <w:t>原则</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以环为穴、以应为穴、以痛为穴、以灶为穴、以边为穴、以间为穴、以验为穴</w:t>
      </w:r>
      <w:r>
        <w:rPr>
          <w:rFonts w:hint="eastAsia" w:hAnsi="宋体" w:cs="Times New Roman"/>
          <w:sz w:val="24"/>
          <w:lang w:val="en-US" w:eastAsia="zh-CN"/>
        </w:rPr>
        <w:t>。</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4.</w:t>
      </w:r>
      <w:r>
        <w:rPr>
          <w:rFonts w:hint="eastAsia" w:hAnsi="宋体" w:cs="Times New Roman"/>
          <w:sz w:val="24"/>
          <w:lang w:val="en-US" w:eastAsia="zh-CN"/>
        </w:rPr>
        <w:t>2</w:t>
      </w:r>
      <w:r>
        <w:rPr>
          <w:rFonts w:hint="eastAsia" w:ascii="Times New Roman" w:hAnsi="宋体" w:eastAsia="宋体" w:cs="Times New Roman"/>
          <w:sz w:val="24"/>
          <w:lang w:val="en-US" w:eastAsia="zh-CN"/>
        </w:rPr>
        <w:t>主穴</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镇寒穴、关常穴、压痛点、手六关穴、外劳宫穴、壮医梅花穴、莲花穴、葵花穴、脐环穴（脐内环穴和脐外环穴）等。</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4.</w:t>
      </w:r>
      <w:r>
        <w:rPr>
          <w:rFonts w:hint="eastAsia" w:hAnsi="宋体" w:cs="Times New Roman"/>
          <w:sz w:val="24"/>
          <w:lang w:val="en-US" w:eastAsia="zh-CN"/>
        </w:rPr>
        <w:t>3</w:t>
      </w:r>
      <w:r>
        <w:rPr>
          <w:rFonts w:hint="eastAsia" w:ascii="Times New Roman" w:hAnsi="宋体" w:eastAsia="宋体" w:cs="Times New Roman"/>
          <w:sz w:val="24"/>
          <w:lang w:val="en-US" w:eastAsia="zh-CN"/>
        </w:rPr>
        <w:t>配穴</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配穴肩关节取肩前、肩中、肩禺；肘关节取肘尖、手三里、曲池、内关、外关、曲泽；腕关节取阳池、阳谷、阳溪、后溪；指关节取八邪；膝关节取膝眼、犊鼻、梁丘；踝关节取申脉、照海、解溪、昆仑、丘墟、太溪；趾关节肢取患处梅花穴或选用大椎、风池穴、肾俞穴、膈俞穴、阳陵泉穴、大杼穴、骨会、足三里、阴陵泉等。</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5艾灸方法</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5.1基本要求</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遵循“先主穴后配穴”的探究方法，使用点燃的壮医药艾（成份为壮药大风艾、姜黄、艾叶、山苍子等）在相关穴位大概3 cm为半径的区域内，距离高于皮肤上方2 cm左右施行温和灸，当患者感受到出现腧穴热敏化现象时(包括以下几种感觉：灸热从探灸部位皮肤表面，直接渗透到深部组织里，甚至可直达脏腑中；灸热以探灸部位为中心向周围扩散；灸热从探灸部位，循线路向远部传导，甚至到达病所；探灸部位不热，远离探灸点相应病症反应部位的感觉热；探灸点的皮肤不热，探灸点下深部组织甚至脏腑感觉到热；探灸部位或远离探灸部位产生酸、麻、胀、痛等非热感觉；或者病症随灸感传导而缓解)。此穴位即为热敏化腧穴（热敏点），反复重复上述步骤，直到所有的热敏腧穴均被探查出。在施灸探穴时，可先对病者进行整体评估，如若病者属久病，体质较差者，可在探穴前先温和灸病者关元、气海、中脘等穴20 min，以调动、激发病者体内正气，更利于探查热敏点。</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5.2方法</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探查到热敏化腧穴后，利用艾条悬灸，将艾条悬灸分为单点灸、双点灸、三点灸。操作手法包括回旋灸、雀啄灸、循经往返灸、温和灸。</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5.3操作</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5.3.1单点灸</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5.3.1.1回旋灸施灸时，艾条点燃的一端与施灸部位皮肤保持一定距离，但艾条并不固定，左右移动或反复旋转施灸。时间约1 min～3 min为宜。</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5.3.1.2雀啄灸施灸时，艾灸点燃的一端与施灸部位皮肤的距离并不固定，如鸟雀啄食一样上下活动，至皮肤红晕为度。时间约1 min～3 min为宜。</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5.3.1.3温和灸施灸时，将艾条点燃的一端对准相应部位，距皮肤2 cm～3 cm，使患者局部有温热感而无灼痛为宜。此方法不拘实际操作时间。</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5.3.1.4循经往返灸施灸时，将艾条点燃的一端沿着经络循行往返路线匀速施灸，以患者感觉施灸路线温热为度。时间约1 min～3 min为宜。</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5.3.2双点灸</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即同时对两个腧穴热敏化进行艾条悬灸操作。操作手法包括回旋灸、雀啄灸、循经往返灸、温和灸。双点灸有利于接通经气，开通经络。临床操作以完成灸感四相过 程为度，不拘实际操作时间。</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5.3.3三点灸</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包括三角灸和T形灸，即同时对三个腧穴热敏化进行艾条悬灸操作。</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6、针刺方法</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热敏探穴后，对已选的穴位（热敏点），进行针刺治疗；壮医针刺强调无痛，同时注重观察患者的主观感受。</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7、治疗疗程</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en-US" w:eastAsia="zh-CN"/>
        </w:rPr>
        <w:t>治疗组，每日1次，连续治疗2周，为一个疗程,共观察两个疗程。第二个疗程开始，可根据病情的变化，重新探查热敏点，按照本标准第4点的规定进行操作。</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（四）注意事项</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1、施灸时，应向患者详细阐述腧穴热敏化艾灸疗法的操作过程，打消患者对艾灸的恐惧感或紧张感，以取得患者的合作。</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2、施灸时，应根据患者的年龄、性别、体质、病情，充分暴露施灸部位，采取舒适的、且能长时间维持的体位。</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3、施灸剂量应根据是否出现腧穴热敏化现象，不应拘泥时间长短。</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4、婴幼儿、昏迷患者、感觉障碍、皮肤溃疡处、肿瘤晚期、糖尿病、结核病、出血性脑血管疾病（急性期）、大量吐（咯）血、孕妇的腹部和腰骶部禁灸。</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5、施艾灸时，要注意防止艾火脱落灼伤患者，或烧坏患者衣服和诊室被褥等物。</w:t>
      </w:r>
    </w:p>
    <w:p>
      <w:pPr>
        <w:spacing w:line="440" w:lineRule="exact"/>
        <w:ind w:firstLine="480" w:firstLineChars="200"/>
        <w:rPr>
          <w:rFonts w:hint="eastAsia" w:ascii="Times New Roman" w:hAnsi="宋体" w:eastAsia="宋体" w:cs="Times New Roman"/>
          <w:sz w:val="24"/>
          <w:lang w:val="en-US" w:eastAsia="zh-CN"/>
        </w:rPr>
      </w:pPr>
      <w:r>
        <w:rPr>
          <w:rFonts w:hint="eastAsia" w:ascii="Times New Roman" w:hAnsi="宋体" w:eastAsia="宋体" w:cs="Times New Roman"/>
          <w:sz w:val="24"/>
          <w:lang w:val="en-US" w:eastAsia="zh-CN"/>
        </w:rPr>
        <w:t>6、过饥、过饱、过劳、酒醉等，不宜施灸。</w:t>
      </w:r>
    </w:p>
    <w:p>
      <w:pPr>
        <w:spacing w:line="440" w:lineRule="exact"/>
        <w:ind w:firstLine="480" w:firstLineChars="200"/>
        <w:rPr>
          <w:rFonts w:hint="eastAsia" w:ascii="Times New Roman" w:hAnsi="宋体" w:eastAsia="宋体" w:cs="Times New Roman"/>
          <w:sz w:val="24"/>
          <w:lang w:val="zh-CN" w:eastAsia="zh-CN"/>
        </w:rPr>
      </w:pPr>
      <w:r>
        <w:rPr>
          <w:rFonts w:hint="eastAsia" w:ascii="Times New Roman" w:hAnsi="宋体" w:eastAsia="宋体" w:cs="Times New Roman"/>
          <w:sz w:val="24"/>
          <w:lang w:val="en-US" w:eastAsia="zh-CN"/>
        </w:rPr>
        <w:t>7、治疗后嘱患者勿暴怒、劳累、饥饿、惊恐，要安静休息，清淡饮食，忌食油腻性、刺激性食品，以促使疾病的康复。</w:t>
      </w:r>
    </w:p>
    <w:p>
      <w:pPr>
        <w:spacing w:line="440" w:lineRule="exact"/>
        <w:ind w:firstLine="482" w:firstLineChars="200"/>
        <w:rPr>
          <w:rFonts w:hint="eastAsia" w:ascii="Times New Roman" w:hAnsi="宋体" w:eastAsia="宋体" w:cs="Times New Roman"/>
          <w:b/>
          <w:sz w:val="24"/>
          <w:lang w:val="zh-CN"/>
        </w:rPr>
      </w:pPr>
      <w:r>
        <w:rPr>
          <w:rFonts w:hint="eastAsia" w:ascii="Times New Roman" w:hAnsi="宋体" w:eastAsia="宋体" w:cs="Times New Roman"/>
          <w:b/>
          <w:sz w:val="24"/>
          <w:lang w:val="zh-CN"/>
        </w:rPr>
        <w:t>六、与现行法律、法规及标准关系</w:t>
      </w:r>
    </w:p>
    <w:p>
      <w:pPr>
        <w:spacing w:line="440" w:lineRule="exact"/>
        <w:ind w:firstLine="480" w:firstLineChars="200"/>
        <w:rPr>
          <w:rFonts w:hint="eastAsia" w:ascii="Times New Roman" w:hAnsi="宋体" w:eastAsia="宋体" w:cs="Times New Roman"/>
          <w:sz w:val="24"/>
          <w:lang w:val="zh-CN"/>
        </w:rPr>
      </w:pPr>
      <w:r>
        <w:rPr>
          <w:rFonts w:hint="eastAsia" w:ascii="Times New Roman" w:hAnsi="宋体" w:eastAsia="宋体" w:cs="Times New Roman"/>
          <w:sz w:val="24"/>
          <w:lang w:val="zh-CN"/>
        </w:rPr>
        <w:t>本标准（征求意见稿）制定是依据《中华人民共和国标准化法》等国家相关的法规和强制性标准的基础上结合地方实际情况制定出来的，因此与现行法律、法规及强制性标准无冲突。</w:t>
      </w:r>
    </w:p>
    <w:p>
      <w:pPr>
        <w:spacing w:line="440" w:lineRule="exact"/>
        <w:ind w:firstLine="482" w:firstLineChars="200"/>
        <w:rPr>
          <w:rFonts w:hint="eastAsia" w:ascii="Times New Roman" w:hAnsi="宋体" w:eastAsia="宋体" w:cs="Times New Roman"/>
          <w:b/>
          <w:sz w:val="24"/>
          <w:lang w:val="zh-CN"/>
        </w:rPr>
      </w:pPr>
      <w:r>
        <w:rPr>
          <w:rFonts w:hint="eastAsia" w:ascii="Times New Roman" w:hAnsi="宋体" w:eastAsia="宋体" w:cs="Times New Roman"/>
          <w:b/>
          <w:sz w:val="24"/>
          <w:lang w:val="zh-CN"/>
        </w:rPr>
        <w:t>七、实施标准的要求和措施建议</w:t>
      </w:r>
    </w:p>
    <w:p>
      <w:pPr>
        <w:widowControl/>
        <w:spacing w:line="360" w:lineRule="auto"/>
        <w:ind w:firstLine="480" w:firstLineChars="200"/>
        <w:jc w:val="left"/>
        <w:rPr>
          <w:rFonts w:ascii="仿宋_GB2312" w:eastAsia="仿宋_GB2312" w:hAnsiTheme="minorEastAsia" w:cstheme="minorEastAsia"/>
          <w:sz w:val="32"/>
          <w:szCs w:val="32"/>
        </w:rPr>
      </w:pPr>
      <w:r>
        <w:rPr>
          <w:rFonts w:hint="eastAsia" w:ascii="Times New Roman" w:hAnsi="宋体" w:eastAsia="宋体" w:cs="Times New Roman"/>
          <w:sz w:val="24"/>
          <w:lang w:val="zh-CN"/>
        </w:rPr>
        <w:t>标准必须是在遵循法律法规及国家相关标准的前提下，标准必须具有法律依据及可操作性。</w:t>
      </w:r>
    </w:p>
    <w:p>
      <w:pPr>
        <w:widowControl/>
        <w:spacing w:line="360" w:lineRule="auto"/>
        <w:ind w:firstLine="480" w:firstLineChars="200"/>
        <w:jc w:val="left"/>
        <w:rPr>
          <w:rFonts w:hint="eastAsia" w:ascii="Times New Roman" w:hAnsi="宋体" w:eastAsia="宋体" w:cs="Times New Roman"/>
          <w:sz w:val="24"/>
          <w:lang w:val="zh-CN"/>
        </w:rPr>
      </w:pPr>
      <w:r>
        <w:rPr>
          <w:rFonts w:hint="eastAsia" w:ascii="Times New Roman" w:hAnsi="宋体" w:eastAsia="宋体" w:cs="Times New Roman"/>
          <w:sz w:val="24"/>
          <w:lang w:val="zh-CN"/>
        </w:rPr>
        <w:t>待标准通过审查后将建议作为推荐性地方标准发布实施。</w:t>
      </w:r>
    </w:p>
    <w:p>
      <w:pPr>
        <w:autoSpaceDE w:val="0"/>
        <w:autoSpaceDN w:val="0"/>
        <w:adjustRightInd w:val="0"/>
        <w:spacing w:line="560" w:lineRule="exact"/>
        <w:rPr>
          <w:rFonts w:ascii="黑体" w:hAnsi="黑体" w:eastAsia="黑体" w:cstheme="minorEastAsia"/>
          <w:sz w:val="32"/>
          <w:szCs w:val="32"/>
          <w:lang w:val="zh-CN"/>
        </w:rPr>
      </w:pPr>
      <w:r>
        <w:rPr>
          <w:rFonts w:hint="eastAsia" w:ascii="Times New Roman" w:hAnsi="宋体" w:eastAsia="宋体" w:cs="Times New Roman"/>
          <w:b/>
          <w:sz w:val="24"/>
          <w:lang w:val="zh-CN"/>
        </w:rPr>
        <w:t>八、参考文献：</w:t>
      </w:r>
    </w:p>
    <w:p>
      <w:pPr>
        <w:widowControl/>
        <w:spacing w:line="360" w:lineRule="auto"/>
        <w:ind w:firstLine="480" w:firstLineChars="200"/>
        <w:jc w:val="left"/>
        <w:rPr>
          <w:rFonts w:hint="eastAsia" w:ascii="Times New Roman" w:hAnsi="宋体" w:eastAsia="宋体" w:cs="Times New Roman"/>
          <w:sz w:val="24"/>
          <w:lang w:val="zh-CN"/>
        </w:rPr>
      </w:pPr>
      <w:r>
        <w:rPr>
          <w:rFonts w:hint="eastAsia" w:ascii="Times New Roman" w:hAnsi="宋体" w:eastAsia="宋体" w:cs="Times New Roman"/>
          <w:sz w:val="24"/>
          <w:lang w:val="zh-CN"/>
        </w:rPr>
        <w:t>[1]庞宇舟,徐晶,黄安,唐静,梁宗挺,陈筱悦.壮医热敏探穴针刺疗法及其临床应用[J].环球中医药,2015,8(07):872-873.</w:t>
      </w:r>
    </w:p>
    <w:p>
      <w:pPr>
        <w:widowControl/>
        <w:spacing w:line="360" w:lineRule="auto"/>
        <w:ind w:firstLine="480" w:firstLineChars="200"/>
        <w:jc w:val="left"/>
        <w:rPr>
          <w:rFonts w:hint="eastAsia" w:ascii="Times New Roman" w:hAnsi="宋体" w:eastAsia="宋体" w:cs="Times New Roman"/>
          <w:sz w:val="24"/>
          <w:lang w:val="zh-CN"/>
        </w:rPr>
      </w:pPr>
      <w:bookmarkStart w:id="5" w:name="OLE_LINK23"/>
      <w:bookmarkStart w:id="6" w:name="OLE_LINK22"/>
      <w:r>
        <w:rPr>
          <w:rFonts w:hint="eastAsia" w:ascii="Times New Roman" w:hAnsi="宋体" w:eastAsia="宋体" w:cs="Times New Roman"/>
          <w:sz w:val="24"/>
          <w:lang w:val="zh-CN"/>
        </w:rPr>
        <w:t>[2]</w:t>
      </w:r>
      <w:bookmarkEnd w:id="5"/>
      <w:bookmarkEnd w:id="6"/>
      <w:r>
        <w:rPr>
          <w:rFonts w:hint="eastAsia" w:ascii="Times New Roman" w:hAnsi="宋体" w:eastAsia="宋体" w:cs="Times New Roman"/>
          <w:sz w:val="24"/>
          <w:lang w:val="zh-CN"/>
        </w:rPr>
        <w:t>徐琳琳，马轶明.雷火灸与热敏灸[J].实用中医内科杂志.2015,1（29）:130-132.</w:t>
      </w:r>
    </w:p>
    <w:p>
      <w:pPr>
        <w:pStyle w:val="28"/>
        <w:rPr>
          <w:rFonts w:hint="eastAsia"/>
        </w:rPr>
      </w:pPr>
    </w:p>
    <w:p>
      <w:pPr>
        <w:widowControl/>
        <w:numPr>
          <w:ilvl w:val="0"/>
          <w:numId w:val="0"/>
        </w:numPr>
        <w:tabs>
          <w:tab w:val="left" w:pos="880"/>
        </w:tabs>
        <w:spacing w:line="440" w:lineRule="exact"/>
        <w:ind w:right="150" w:rightChars="0"/>
        <w:jc w:val="left"/>
        <w:rPr>
          <w:rFonts w:hint="eastAsia" w:ascii="仿宋_GB2312" w:eastAsia="仿宋_GB2312" w:hAnsi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18278"/>
    </w:sdtPr>
    <w:sdtContent>
      <w:p>
        <w:pPr>
          <w:pStyle w:val="10"/>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48"/>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14598"/>
    <w:rsid w:val="000727E2"/>
    <w:rsid w:val="00097081"/>
    <w:rsid w:val="000B5A05"/>
    <w:rsid w:val="000C2967"/>
    <w:rsid w:val="00165E6C"/>
    <w:rsid w:val="001B6AA3"/>
    <w:rsid w:val="001C3343"/>
    <w:rsid w:val="001D0CD7"/>
    <w:rsid w:val="0020204E"/>
    <w:rsid w:val="00214598"/>
    <w:rsid w:val="002474EA"/>
    <w:rsid w:val="00250323"/>
    <w:rsid w:val="00251842"/>
    <w:rsid w:val="002526B7"/>
    <w:rsid w:val="00266502"/>
    <w:rsid w:val="00293C3D"/>
    <w:rsid w:val="00295FE3"/>
    <w:rsid w:val="002C0F39"/>
    <w:rsid w:val="002F4522"/>
    <w:rsid w:val="003016F0"/>
    <w:rsid w:val="00394388"/>
    <w:rsid w:val="003F64B4"/>
    <w:rsid w:val="004049A3"/>
    <w:rsid w:val="00433028"/>
    <w:rsid w:val="004374B6"/>
    <w:rsid w:val="00451DA7"/>
    <w:rsid w:val="00456E7D"/>
    <w:rsid w:val="00461547"/>
    <w:rsid w:val="00467F52"/>
    <w:rsid w:val="004A41FB"/>
    <w:rsid w:val="004B1F4A"/>
    <w:rsid w:val="004B3D63"/>
    <w:rsid w:val="004B55D1"/>
    <w:rsid w:val="004C4CDF"/>
    <w:rsid w:val="004D1250"/>
    <w:rsid w:val="004D7C2D"/>
    <w:rsid w:val="00504201"/>
    <w:rsid w:val="005113C2"/>
    <w:rsid w:val="00542216"/>
    <w:rsid w:val="005423F5"/>
    <w:rsid w:val="00580879"/>
    <w:rsid w:val="005A1028"/>
    <w:rsid w:val="005A6513"/>
    <w:rsid w:val="005B68D6"/>
    <w:rsid w:val="005E57B2"/>
    <w:rsid w:val="005E6120"/>
    <w:rsid w:val="005F346F"/>
    <w:rsid w:val="006442E7"/>
    <w:rsid w:val="006463AF"/>
    <w:rsid w:val="00673AEB"/>
    <w:rsid w:val="006A39A5"/>
    <w:rsid w:val="006B7898"/>
    <w:rsid w:val="00744C0F"/>
    <w:rsid w:val="0074718C"/>
    <w:rsid w:val="007A7B31"/>
    <w:rsid w:val="007B5042"/>
    <w:rsid w:val="008274D7"/>
    <w:rsid w:val="008472F2"/>
    <w:rsid w:val="00865ABB"/>
    <w:rsid w:val="00866A1E"/>
    <w:rsid w:val="00881A91"/>
    <w:rsid w:val="008B2308"/>
    <w:rsid w:val="008C3549"/>
    <w:rsid w:val="008D0807"/>
    <w:rsid w:val="008D1FA1"/>
    <w:rsid w:val="00910466"/>
    <w:rsid w:val="00973783"/>
    <w:rsid w:val="00980787"/>
    <w:rsid w:val="00991E9E"/>
    <w:rsid w:val="009973FC"/>
    <w:rsid w:val="009A1067"/>
    <w:rsid w:val="009A35CE"/>
    <w:rsid w:val="00A124FD"/>
    <w:rsid w:val="00A3017E"/>
    <w:rsid w:val="00A428DE"/>
    <w:rsid w:val="00A77888"/>
    <w:rsid w:val="00AE7D44"/>
    <w:rsid w:val="00B060CE"/>
    <w:rsid w:val="00B22481"/>
    <w:rsid w:val="00B26696"/>
    <w:rsid w:val="00B30443"/>
    <w:rsid w:val="00BA5862"/>
    <w:rsid w:val="00BE490E"/>
    <w:rsid w:val="00C76903"/>
    <w:rsid w:val="00CA4E7A"/>
    <w:rsid w:val="00CE7370"/>
    <w:rsid w:val="00CE746F"/>
    <w:rsid w:val="00D0531D"/>
    <w:rsid w:val="00D25B27"/>
    <w:rsid w:val="00D673F3"/>
    <w:rsid w:val="00DC2B2B"/>
    <w:rsid w:val="00DD4865"/>
    <w:rsid w:val="00DD4C80"/>
    <w:rsid w:val="00DF39EC"/>
    <w:rsid w:val="00E057B3"/>
    <w:rsid w:val="00E07F2A"/>
    <w:rsid w:val="00E26AFF"/>
    <w:rsid w:val="00E60BBF"/>
    <w:rsid w:val="00E81BD6"/>
    <w:rsid w:val="00E91D3E"/>
    <w:rsid w:val="00E94915"/>
    <w:rsid w:val="00EA4728"/>
    <w:rsid w:val="00EC349E"/>
    <w:rsid w:val="00ED3D81"/>
    <w:rsid w:val="00ED49AD"/>
    <w:rsid w:val="00F25BE9"/>
    <w:rsid w:val="00F7464F"/>
    <w:rsid w:val="00F82478"/>
    <w:rsid w:val="00FA07F2"/>
    <w:rsid w:val="00FA0E2F"/>
    <w:rsid w:val="00FA6A38"/>
    <w:rsid w:val="00FE6016"/>
    <w:rsid w:val="00FF25EF"/>
    <w:rsid w:val="00FF53A0"/>
    <w:rsid w:val="085471FD"/>
    <w:rsid w:val="0ADC64A9"/>
    <w:rsid w:val="0BC1208B"/>
    <w:rsid w:val="0BE670F5"/>
    <w:rsid w:val="0D7F3184"/>
    <w:rsid w:val="10107825"/>
    <w:rsid w:val="111D4488"/>
    <w:rsid w:val="11ED347B"/>
    <w:rsid w:val="17EF2A55"/>
    <w:rsid w:val="17F55BD9"/>
    <w:rsid w:val="1C714D72"/>
    <w:rsid w:val="1C8C7B50"/>
    <w:rsid w:val="1E491A62"/>
    <w:rsid w:val="1F022508"/>
    <w:rsid w:val="262B342D"/>
    <w:rsid w:val="281218FF"/>
    <w:rsid w:val="287C25A1"/>
    <w:rsid w:val="28DE585E"/>
    <w:rsid w:val="299C4010"/>
    <w:rsid w:val="2BF9632E"/>
    <w:rsid w:val="2CF362DC"/>
    <w:rsid w:val="2D2C42A5"/>
    <w:rsid w:val="2D5B7B79"/>
    <w:rsid w:val="2E741B38"/>
    <w:rsid w:val="32DB4FD4"/>
    <w:rsid w:val="33C062F9"/>
    <w:rsid w:val="34645D53"/>
    <w:rsid w:val="3560759E"/>
    <w:rsid w:val="35AC7ADE"/>
    <w:rsid w:val="36E30B40"/>
    <w:rsid w:val="37AE2C80"/>
    <w:rsid w:val="44067F74"/>
    <w:rsid w:val="47253D74"/>
    <w:rsid w:val="47D676CF"/>
    <w:rsid w:val="4821554B"/>
    <w:rsid w:val="4A657FC1"/>
    <w:rsid w:val="4A69407D"/>
    <w:rsid w:val="4AC96124"/>
    <w:rsid w:val="4CA73FBD"/>
    <w:rsid w:val="5008104A"/>
    <w:rsid w:val="54442ADA"/>
    <w:rsid w:val="54A32AF2"/>
    <w:rsid w:val="58BB44E4"/>
    <w:rsid w:val="590209B6"/>
    <w:rsid w:val="60E21472"/>
    <w:rsid w:val="64C261AD"/>
    <w:rsid w:val="6857409E"/>
    <w:rsid w:val="6AC91697"/>
    <w:rsid w:val="6BC90443"/>
    <w:rsid w:val="6C935E77"/>
    <w:rsid w:val="70471639"/>
    <w:rsid w:val="72B50236"/>
    <w:rsid w:val="72E75084"/>
    <w:rsid w:val="774F066A"/>
    <w:rsid w:val="78FC078B"/>
    <w:rsid w:val="791855A9"/>
    <w:rsid w:val="7AD64097"/>
    <w:rsid w:val="7B0E644F"/>
    <w:rsid w:val="7FA013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snapToGrid w:val="0"/>
      <w:spacing w:line="312" w:lineRule="auto"/>
      <w:ind w:firstLine="570"/>
    </w:pPr>
    <w:rPr>
      <w:spacing w:val="-4"/>
      <w:sz w:val="28"/>
      <w:szCs w:val="20"/>
    </w:rPr>
  </w:style>
  <w:style w:type="paragraph" w:styleId="5">
    <w:name w:val="annotation text"/>
    <w:basedOn w:val="1"/>
    <w:link w:val="40"/>
    <w:semiHidden/>
    <w:qFormat/>
    <w:uiPriority w:val="0"/>
    <w:pPr>
      <w:jc w:val="left"/>
    </w:pPr>
  </w:style>
  <w:style w:type="paragraph" w:styleId="6">
    <w:name w:val="Body Text Indent"/>
    <w:basedOn w:val="1"/>
    <w:link w:val="30"/>
    <w:qFormat/>
    <w:uiPriority w:val="0"/>
    <w:pPr>
      <w:spacing w:line="400" w:lineRule="exact"/>
      <w:ind w:firstLine="560" w:firstLineChars="200"/>
    </w:pPr>
    <w:rPr>
      <w:sz w:val="28"/>
    </w:rPr>
  </w:style>
  <w:style w:type="paragraph" w:styleId="7">
    <w:name w:val="Plain Text"/>
    <w:basedOn w:val="1"/>
    <w:link w:val="39"/>
    <w:qFormat/>
    <w:uiPriority w:val="0"/>
    <w:rPr>
      <w:rFonts w:ascii="仿宋_GB2312" w:hAnsi="Courier New" w:eastAsia="仿宋_GB2312" w:cs="Courier New"/>
      <w:sz w:val="32"/>
      <w:szCs w:val="21"/>
    </w:rPr>
  </w:style>
  <w:style w:type="paragraph" w:styleId="8">
    <w:name w:val="Date"/>
    <w:basedOn w:val="1"/>
    <w:next w:val="1"/>
    <w:link w:val="42"/>
    <w:qFormat/>
    <w:uiPriority w:val="0"/>
    <w:pPr>
      <w:ind w:left="100" w:leftChars="2500"/>
    </w:pPr>
  </w:style>
  <w:style w:type="paragraph" w:styleId="9">
    <w:name w:val="Balloon Text"/>
    <w:basedOn w:val="1"/>
    <w:link w:val="43"/>
    <w:semiHidden/>
    <w:unhideWhenUsed/>
    <w:qFormat/>
    <w:uiPriority w:val="99"/>
    <w:rPr>
      <w:sz w:val="18"/>
      <w:szCs w:val="18"/>
    </w:rPr>
  </w:style>
  <w:style w:type="paragraph" w:styleId="10">
    <w:name w:val="footer"/>
    <w:basedOn w:val="1"/>
    <w:link w:val="36"/>
    <w:qFormat/>
    <w:uiPriority w:val="99"/>
    <w:pPr>
      <w:tabs>
        <w:tab w:val="center" w:pos="4153"/>
        <w:tab w:val="right" w:pos="8306"/>
      </w:tabs>
      <w:snapToGrid w:val="0"/>
      <w:jc w:val="left"/>
    </w:pPr>
    <w:rPr>
      <w:sz w:val="18"/>
      <w:szCs w:val="18"/>
    </w:rPr>
  </w:style>
  <w:style w:type="paragraph" w:styleId="11">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4">
    <w:name w:val="Table Grid"/>
    <w:basedOn w:val="1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15">
    <w:name w:val="Table Simple 1"/>
    <w:basedOn w:val="13"/>
    <w:qFormat/>
    <w:uiPriority w:val="0"/>
    <w:pPr>
      <w:widowControl w:val="0"/>
      <w:jc w:val="both"/>
    </w:pPr>
    <w:rPr>
      <w:rFonts w:ascii="Times New Roman" w:hAnsi="Times New Roman"/>
    </w:rPr>
    <w:tblPr>
      <w:tblBorders>
        <w:top w:val="single" w:color="008000" w:sz="12" w:space="0"/>
        <w:bottom w:val="single" w:color="008000" w:sz="12"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8000" w:sz="6" w:space="0"/>
          <w:tl2br w:val="nil"/>
          <w:tr2bl w:val="nil"/>
        </w:tcBorders>
      </w:tcPr>
    </w:tblStylePr>
    <w:tblStylePr w:type="lastRow">
      <w:tblPr>
        <w:tblLayout w:type="fixed"/>
      </w:tblPr>
      <w:tcPr>
        <w:tcBorders>
          <w:top w:val="single" w:color="008000" w:sz="6" w:space="0"/>
          <w:tl2br w:val="nil"/>
          <w:tr2bl w:val="nil"/>
        </w:tcBorders>
      </w:tcPr>
    </w:tblStylePr>
  </w:style>
  <w:style w:type="character" w:styleId="17">
    <w:name w:val="Strong"/>
    <w:basedOn w:val="16"/>
    <w:qFormat/>
    <w:uiPriority w:val="0"/>
    <w:rPr>
      <w:b/>
      <w:bCs/>
    </w:rPr>
  </w:style>
  <w:style w:type="character" w:styleId="18">
    <w:name w:val="page number"/>
    <w:basedOn w:val="16"/>
    <w:qFormat/>
    <w:uiPriority w:val="0"/>
  </w:style>
  <w:style w:type="character" w:styleId="19">
    <w:name w:val="FollowedHyperlink"/>
    <w:basedOn w:val="16"/>
    <w:semiHidden/>
    <w:unhideWhenUsed/>
    <w:qFormat/>
    <w:uiPriority w:val="99"/>
    <w:rPr>
      <w:color w:val="333333"/>
      <w:u w:val="none"/>
    </w:rPr>
  </w:style>
  <w:style w:type="character" w:styleId="20">
    <w:name w:val="Emphasis"/>
    <w:basedOn w:val="16"/>
    <w:qFormat/>
    <w:uiPriority w:val="0"/>
    <w:rPr>
      <w:i/>
      <w:iCs/>
    </w:rPr>
  </w:style>
  <w:style w:type="character" w:styleId="21">
    <w:name w:val="HTML Definition"/>
    <w:basedOn w:val="16"/>
    <w:semiHidden/>
    <w:unhideWhenUsed/>
    <w:qFormat/>
    <w:uiPriority w:val="99"/>
  </w:style>
  <w:style w:type="character" w:styleId="22">
    <w:name w:val="HTML Acronym"/>
    <w:basedOn w:val="16"/>
    <w:semiHidden/>
    <w:unhideWhenUsed/>
    <w:qFormat/>
    <w:uiPriority w:val="99"/>
  </w:style>
  <w:style w:type="character" w:styleId="23">
    <w:name w:val="HTML Variable"/>
    <w:basedOn w:val="16"/>
    <w:semiHidden/>
    <w:unhideWhenUsed/>
    <w:qFormat/>
    <w:uiPriority w:val="99"/>
  </w:style>
  <w:style w:type="character" w:styleId="24">
    <w:name w:val="Hyperlink"/>
    <w:basedOn w:val="16"/>
    <w:qFormat/>
    <w:uiPriority w:val="0"/>
    <w:rPr>
      <w:color w:val="136EC2"/>
      <w:u w:val="single"/>
    </w:rPr>
  </w:style>
  <w:style w:type="character" w:styleId="25">
    <w:name w:val="HTML Code"/>
    <w:basedOn w:val="16"/>
    <w:semiHidden/>
    <w:unhideWhenUsed/>
    <w:qFormat/>
    <w:uiPriority w:val="99"/>
    <w:rPr>
      <w:rFonts w:ascii="Courier New" w:hAnsi="Courier New"/>
      <w:sz w:val="20"/>
    </w:rPr>
  </w:style>
  <w:style w:type="character" w:styleId="26">
    <w:name w:val="annotation reference"/>
    <w:basedOn w:val="16"/>
    <w:qFormat/>
    <w:uiPriority w:val="0"/>
    <w:rPr>
      <w:sz w:val="21"/>
      <w:szCs w:val="21"/>
    </w:rPr>
  </w:style>
  <w:style w:type="character" w:styleId="27">
    <w:name w:val="HTML Cite"/>
    <w:basedOn w:val="16"/>
    <w:semiHidden/>
    <w:unhideWhenUsed/>
    <w:qFormat/>
    <w:uiPriority w:val="99"/>
  </w:style>
  <w:style w:type="paragraph" w:customStyle="1" w:styleId="28">
    <w:name w:val="章标题"/>
    <w:next w:val="29"/>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29">
    <w:name w:val="段"/>
    <w:link w:val="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正文文本缩进 Char"/>
    <w:basedOn w:val="16"/>
    <w:link w:val="6"/>
    <w:semiHidden/>
    <w:qFormat/>
    <w:uiPriority w:val="99"/>
    <w:rPr>
      <w:rFonts w:ascii="Times New Roman" w:hAnsi="Times New Roman" w:eastAsia="宋体" w:cs="Times New Roman"/>
      <w:sz w:val="28"/>
      <w:szCs w:val="24"/>
    </w:rPr>
  </w:style>
  <w:style w:type="character" w:customStyle="1" w:styleId="31">
    <w:name w:val="段 Char"/>
    <w:basedOn w:val="16"/>
    <w:link w:val="29"/>
    <w:qFormat/>
    <w:uiPriority w:val="0"/>
    <w:rPr>
      <w:rFonts w:ascii="宋体" w:hAnsi="Times New Roman" w:eastAsia="宋体" w:cs="Times New Roman"/>
      <w:kern w:val="0"/>
      <w:szCs w:val="20"/>
    </w:rPr>
  </w:style>
  <w:style w:type="paragraph" w:customStyle="1" w:styleId="32">
    <w:name w:val="Char Char1 Char Char Char Char"/>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33">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34">
    <w:name w:val="标题 3 Char"/>
    <w:basedOn w:val="16"/>
    <w:link w:val="3"/>
    <w:qFormat/>
    <w:uiPriority w:val="0"/>
    <w:rPr>
      <w:rFonts w:ascii="Times New Roman" w:hAnsi="Times New Roman" w:eastAsia="宋体" w:cs="Times New Roman"/>
      <w:b/>
      <w:bCs/>
      <w:sz w:val="32"/>
      <w:szCs w:val="32"/>
    </w:rPr>
  </w:style>
  <w:style w:type="character" w:customStyle="1" w:styleId="35">
    <w:name w:val="页眉 Char"/>
    <w:basedOn w:val="16"/>
    <w:link w:val="11"/>
    <w:qFormat/>
    <w:uiPriority w:val="0"/>
    <w:rPr>
      <w:rFonts w:ascii="Times New Roman" w:hAnsi="Times New Roman" w:eastAsia="宋体" w:cs="Times New Roman"/>
      <w:sz w:val="18"/>
      <w:szCs w:val="18"/>
    </w:rPr>
  </w:style>
  <w:style w:type="character" w:customStyle="1" w:styleId="36">
    <w:name w:val="页脚 Char"/>
    <w:basedOn w:val="16"/>
    <w:link w:val="10"/>
    <w:qFormat/>
    <w:uiPriority w:val="99"/>
    <w:rPr>
      <w:rFonts w:ascii="Times New Roman" w:hAnsi="Times New Roman" w:eastAsia="宋体" w:cs="Times New Roman"/>
      <w:sz w:val="18"/>
      <w:szCs w:val="18"/>
    </w:rPr>
  </w:style>
  <w:style w:type="paragraph" w:customStyle="1" w:styleId="37">
    <w:name w:val="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38">
    <w:name w:val="Char Char Char Char Char Char1 Char"/>
    <w:basedOn w:val="1"/>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39">
    <w:name w:val="纯文本 Char"/>
    <w:basedOn w:val="16"/>
    <w:link w:val="7"/>
    <w:qFormat/>
    <w:uiPriority w:val="0"/>
    <w:rPr>
      <w:rFonts w:ascii="仿宋_GB2312" w:hAnsi="Courier New" w:eastAsia="仿宋_GB2312" w:cs="Courier New"/>
      <w:sz w:val="32"/>
      <w:szCs w:val="21"/>
    </w:rPr>
  </w:style>
  <w:style w:type="character" w:customStyle="1" w:styleId="40">
    <w:name w:val="批注文字 Char"/>
    <w:basedOn w:val="16"/>
    <w:link w:val="5"/>
    <w:semiHidden/>
    <w:qFormat/>
    <w:uiPriority w:val="0"/>
    <w:rPr>
      <w:rFonts w:ascii="Times New Roman" w:hAnsi="Times New Roman" w:eastAsia="宋体" w:cs="Times New Roman"/>
      <w:szCs w:val="24"/>
    </w:rPr>
  </w:style>
  <w:style w:type="character" w:customStyle="1" w:styleId="41">
    <w:name w:val="aspmaker1"/>
    <w:basedOn w:val="16"/>
    <w:qFormat/>
    <w:uiPriority w:val="0"/>
    <w:rPr>
      <w:rFonts w:hint="default" w:ascii="Verdana" w:hAnsi="Verdana"/>
      <w:sz w:val="20"/>
      <w:szCs w:val="20"/>
    </w:rPr>
  </w:style>
  <w:style w:type="character" w:customStyle="1" w:styleId="42">
    <w:name w:val="日期 Char"/>
    <w:basedOn w:val="16"/>
    <w:link w:val="8"/>
    <w:qFormat/>
    <w:uiPriority w:val="0"/>
    <w:rPr>
      <w:rFonts w:ascii="Times New Roman" w:hAnsi="Times New Roman" w:eastAsia="宋体" w:cs="Times New Roman"/>
      <w:szCs w:val="24"/>
    </w:rPr>
  </w:style>
  <w:style w:type="character" w:customStyle="1" w:styleId="43">
    <w:name w:val="批注框文本 Char"/>
    <w:basedOn w:val="16"/>
    <w:link w:val="9"/>
    <w:semiHidden/>
    <w:qFormat/>
    <w:uiPriority w:val="99"/>
    <w:rPr>
      <w:rFonts w:ascii="Times New Roman" w:hAnsi="Times New Roman" w:eastAsia="宋体" w:cs="Times New Roman"/>
      <w:sz w:val="18"/>
      <w:szCs w:val="18"/>
    </w:rPr>
  </w:style>
  <w:style w:type="character" w:customStyle="1" w:styleId="44">
    <w:name w:val="current"/>
    <w:basedOn w:val="16"/>
    <w:qFormat/>
    <w:uiPriority w:val="0"/>
    <w:rPr>
      <w:b/>
      <w:color w:val="FFFFFF"/>
      <w:bdr w:val="single" w:color="7D6543" w:sz="6" w:space="0"/>
      <w:shd w:val="clear" w:color="auto" w:fill="7D6543"/>
    </w:rPr>
  </w:style>
  <w:style w:type="character" w:customStyle="1" w:styleId="45">
    <w:name w:val="disabled"/>
    <w:basedOn w:val="16"/>
    <w:qFormat/>
    <w:uiPriority w:val="0"/>
    <w:rPr>
      <w:color w:val="999999"/>
      <w:bdr w:val="single" w:color="C5C5C5" w:sz="6" w:space="0"/>
    </w:rPr>
  </w:style>
  <w:style w:type="paragraph" w:styleId="46">
    <w:name w:val="List Paragraph"/>
    <w:basedOn w:val="1"/>
    <w:unhideWhenUsed/>
    <w:qFormat/>
    <w:uiPriority w:val="99"/>
    <w:pPr>
      <w:ind w:firstLine="420" w:firstLineChars="200"/>
    </w:pPr>
  </w:style>
  <w:style w:type="paragraph" w:customStyle="1" w:styleId="47">
    <w:name w:val="一级条标题"/>
    <w:next w:val="29"/>
    <w:qFormat/>
    <w:uiPriority w:val="0"/>
    <w:pPr>
      <w:numPr>
        <w:ilvl w:val="1"/>
        <w:numId w:val="1"/>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48">
    <w:name w:val="字母编号列项（一级）"/>
    <w:qFormat/>
    <w:uiPriority w:val="0"/>
    <w:pPr>
      <w:numPr>
        <w:ilvl w:val="0"/>
        <w:numId w:val="2"/>
      </w:numPr>
      <w:jc w:val="both"/>
    </w:pPr>
    <w:rPr>
      <w:rFonts w:ascii="宋体" w:hAnsi="Calibri" w:eastAsia="宋体" w:cs="Times New Roman"/>
      <w:sz w:val="21"/>
      <w:lang w:val="en-US" w:eastAsia="zh-CN" w:bidi="ar-SA"/>
    </w:rPr>
  </w:style>
  <w:style w:type="paragraph" w:customStyle="1" w:styleId="49">
    <w:name w:val="二级条标题"/>
    <w:basedOn w:val="47"/>
    <w:next w:val="29"/>
    <w:qFormat/>
    <w:uiPriority w:val="0"/>
    <w:pPr>
      <w:numPr>
        <w:ilvl w:val="2"/>
        <w:numId w:val="1"/>
      </w:numPr>
      <w:spacing w:before="50" w:after="50"/>
      <w:outlineLvl w:val="3"/>
    </w:pPr>
  </w:style>
  <w:style w:type="paragraph" w:customStyle="1" w:styleId="50">
    <w:name w:val="三级条标题"/>
    <w:basedOn w:val="49"/>
    <w:next w:val="29"/>
    <w:qFormat/>
    <w:uiPriority w:val="0"/>
    <w:pPr>
      <w:numPr>
        <w:ilvl w:val="3"/>
        <w:numId w:val="1"/>
      </w:numPr>
      <w:outlineLvl w:val="4"/>
    </w:pPr>
  </w:style>
  <w:style w:type="paragraph" w:customStyle="1" w:styleId="51">
    <w:name w:val="四级条标题"/>
    <w:basedOn w:val="50"/>
    <w:next w:val="29"/>
    <w:qFormat/>
    <w:uiPriority w:val="0"/>
    <w:pPr>
      <w:numPr>
        <w:ilvl w:val="4"/>
        <w:numId w:val="1"/>
      </w:numPr>
      <w:outlineLvl w:val="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499</Words>
  <Characters>2848</Characters>
  <Lines>23</Lines>
  <Paragraphs>6</Paragraphs>
  <TotalTime>0</TotalTime>
  <ScaleCrop>false</ScaleCrop>
  <LinksUpToDate>false</LinksUpToDate>
  <CharactersWithSpaces>3341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2019-01-03T05:36:00Z</dcterms:created>
  <dc:creator>微软用户</dc:creator>
  <cp:lastModifiedBy>最佳屁小孩</cp:lastModifiedBy>
  <cp:lastPrinted>2019-05-30T01:51:00Z</cp:lastPrinted>
  <dcterms:modified xsi:type="dcterms:W3CDTF">2019-06-03T02:09:42Z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